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5147A42" w:rsidR="00762C5B" w:rsidRDefault="16A42219" w:rsidP="52173BE0">
      <w:pPr>
        <w:rPr>
          <w:b/>
          <w:bCs/>
          <w:sz w:val="28"/>
          <w:szCs w:val="28"/>
        </w:rPr>
      </w:pPr>
      <w:bookmarkStart w:id="0" w:name="_GoBack"/>
      <w:bookmarkEnd w:id="0"/>
      <w:r w:rsidRPr="61A68A59">
        <w:rPr>
          <w:b/>
          <w:bCs/>
          <w:sz w:val="28"/>
          <w:szCs w:val="28"/>
        </w:rPr>
        <w:t xml:space="preserve">Academic Affairs Agenda, </w:t>
      </w:r>
      <w:r w:rsidR="03B586E4" w:rsidRPr="61A68A59">
        <w:rPr>
          <w:b/>
          <w:bCs/>
          <w:sz w:val="28"/>
          <w:szCs w:val="28"/>
        </w:rPr>
        <w:t>January,</w:t>
      </w:r>
      <w:r w:rsidRPr="61A68A59">
        <w:rPr>
          <w:b/>
          <w:bCs/>
          <w:sz w:val="28"/>
          <w:szCs w:val="28"/>
        </w:rPr>
        <w:t xml:space="preserve"> </w:t>
      </w:r>
      <w:r w:rsidR="125F4ADF" w:rsidRPr="61A68A59">
        <w:rPr>
          <w:b/>
          <w:bCs/>
          <w:sz w:val="28"/>
          <w:szCs w:val="28"/>
        </w:rPr>
        <w:t xml:space="preserve">20, </w:t>
      </w:r>
      <w:r w:rsidRPr="61A68A59">
        <w:rPr>
          <w:b/>
          <w:bCs/>
          <w:sz w:val="28"/>
          <w:szCs w:val="28"/>
        </w:rPr>
        <w:t>2022</w:t>
      </w:r>
    </w:p>
    <w:p w14:paraId="3A19CF08" w14:textId="109EEB10" w:rsidR="3720A706" w:rsidRDefault="3720A706" w:rsidP="61A68A59">
      <w:pPr>
        <w:rPr>
          <w:b/>
          <w:bCs/>
          <w:sz w:val="28"/>
          <w:szCs w:val="28"/>
        </w:rPr>
      </w:pPr>
      <w:r w:rsidRPr="61A68A59">
        <w:rPr>
          <w:b/>
          <w:bCs/>
          <w:sz w:val="28"/>
          <w:szCs w:val="28"/>
        </w:rPr>
        <w:t>Minutes and Motions Passed</w:t>
      </w:r>
    </w:p>
    <w:p w14:paraId="4586CA10" w14:textId="7EC0E020" w:rsidR="2B7F0BE5" w:rsidRDefault="2B7F0BE5" w:rsidP="2B7F0BE5"/>
    <w:p w14:paraId="7D3D7C3A" w14:textId="45EFE4C4" w:rsidR="627518CB" w:rsidRDefault="060EF721" w:rsidP="2B7F0BE5">
      <w:r>
        <w:t xml:space="preserve">Voting </w:t>
      </w:r>
      <w:r w:rsidR="627518CB">
        <w:t>Member</w:t>
      </w:r>
      <w:r w:rsidR="489BC78E">
        <w:t>s</w:t>
      </w:r>
      <w:r w:rsidR="0BF15B63">
        <w:t>:</w:t>
      </w:r>
    </w:p>
    <w:p w14:paraId="770FBC03" w14:textId="086F5674" w:rsidR="16A42219" w:rsidRDefault="16A42219" w:rsidP="61A68A59">
      <w:pPr>
        <w:rPr>
          <w:b/>
          <w:bCs/>
        </w:rPr>
      </w:pPr>
      <w:r w:rsidRPr="61A68A59">
        <w:rPr>
          <w:b/>
          <w:bCs/>
        </w:rPr>
        <w:t>Jennifer Magee</w:t>
      </w:r>
    </w:p>
    <w:p w14:paraId="64344989" w14:textId="19A3DE04" w:rsidR="16A42219" w:rsidRDefault="16A42219" w:rsidP="61A68A59">
      <w:pPr>
        <w:rPr>
          <w:b/>
          <w:bCs/>
        </w:rPr>
      </w:pPr>
      <w:r w:rsidRPr="61A68A59">
        <w:rPr>
          <w:b/>
          <w:bCs/>
        </w:rPr>
        <w:t>John Broome</w:t>
      </w:r>
    </w:p>
    <w:p w14:paraId="1B5A0470" w14:textId="758DB504" w:rsidR="16A42219" w:rsidRDefault="16A42219" w:rsidP="61A68A59">
      <w:pPr>
        <w:rPr>
          <w:b/>
          <w:bCs/>
        </w:rPr>
      </w:pPr>
      <w:r w:rsidRPr="61A68A59">
        <w:rPr>
          <w:b/>
          <w:bCs/>
        </w:rPr>
        <w:t>Paul Fallon</w:t>
      </w:r>
    </w:p>
    <w:p w14:paraId="22F920CC" w14:textId="3FBBDF90" w:rsidR="34034F85" w:rsidRDefault="34034F85" w:rsidP="61A68A59">
      <w:pPr>
        <w:rPr>
          <w:b/>
          <w:bCs/>
        </w:rPr>
      </w:pPr>
      <w:r w:rsidRPr="61A68A59">
        <w:rPr>
          <w:b/>
          <w:bCs/>
        </w:rPr>
        <w:t>Kim Gower</w:t>
      </w:r>
    </w:p>
    <w:p w14:paraId="3AF2E6DD" w14:textId="60DCDAFE" w:rsidR="34034F85" w:rsidRDefault="34034F85" w:rsidP="61A68A59">
      <w:pPr>
        <w:rPr>
          <w:b/>
          <w:bCs/>
        </w:rPr>
      </w:pPr>
      <w:r w:rsidRPr="61A68A59">
        <w:rPr>
          <w:b/>
          <w:bCs/>
        </w:rPr>
        <w:t>Michael Benson</w:t>
      </w:r>
    </w:p>
    <w:p w14:paraId="55A20058" w14:textId="741EFB03" w:rsidR="2B7F0BE5" w:rsidRDefault="2B7F0BE5" w:rsidP="2B7F0BE5"/>
    <w:p w14:paraId="5AA1E98A" w14:textId="1CCE6CA0" w:rsidR="16A42219" w:rsidRDefault="16A42219" w:rsidP="2B7F0BE5">
      <w:pPr>
        <w:rPr>
          <w:b/>
          <w:bCs/>
        </w:rPr>
      </w:pPr>
      <w:r w:rsidRPr="2B7F0BE5">
        <w:rPr>
          <w:b/>
          <w:bCs/>
        </w:rPr>
        <w:t>Secretary: take minutes and forward to Kristin Marsh at least ONE WEEK before UFC meeting, with action items in bold at the bottom</w:t>
      </w:r>
      <w:r w:rsidR="38B8F87D" w:rsidRPr="2B7F0BE5">
        <w:rPr>
          <w:b/>
          <w:bCs/>
        </w:rPr>
        <w:t>.</w:t>
      </w:r>
    </w:p>
    <w:p w14:paraId="1B453F27" w14:textId="5E25D433" w:rsidR="3DAAA86F" w:rsidRDefault="77AC320D" w:rsidP="61A68A59">
      <w:pPr>
        <w:pStyle w:val="ListParagraph"/>
        <w:numPr>
          <w:ilvl w:val="0"/>
          <w:numId w:val="1"/>
        </w:numPr>
        <w:rPr>
          <w:rFonts w:eastAsiaTheme="minorEastAsia"/>
          <w:b/>
          <w:bCs/>
        </w:rPr>
      </w:pPr>
      <w:r w:rsidRPr="61A68A59">
        <w:rPr>
          <w:b/>
          <w:bCs/>
        </w:rPr>
        <w:t>COB:</w:t>
      </w:r>
      <w:r w:rsidRPr="61A68A59">
        <w:rPr>
          <w:rFonts w:ascii="Calibri" w:eastAsia="Calibri" w:hAnsi="Calibri" w:cs="Calibri"/>
          <w:b/>
          <w:bCs/>
          <w:color w:val="000000" w:themeColor="text1"/>
        </w:rPr>
        <w:t xml:space="preserve"> COB faculty has submitted the request to go online</w:t>
      </w:r>
      <w:r w:rsidR="05FF1B97" w:rsidRPr="61A68A59">
        <w:rPr>
          <w:rFonts w:ascii="Calibri" w:eastAsia="Calibri" w:hAnsi="Calibri" w:cs="Calibri"/>
          <w:b/>
          <w:bCs/>
          <w:color w:val="000000" w:themeColor="text1"/>
        </w:rPr>
        <w:t xml:space="preserve"> for additional classes,</w:t>
      </w:r>
      <w:r w:rsidRPr="61A68A59">
        <w:rPr>
          <w:rFonts w:ascii="Calibri" w:eastAsia="Calibri" w:hAnsi="Calibri" w:cs="Calibri"/>
          <w:b/>
          <w:bCs/>
          <w:color w:val="000000" w:themeColor="text1"/>
        </w:rPr>
        <w:t xml:space="preserve"> to UCC and, therefore, UFC, but wanted</w:t>
      </w:r>
      <w:r w:rsidR="4643424E" w:rsidRPr="61A68A59">
        <w:rPr>
          <w:rFonts w:ascii="Calibri" w:eastAsia="Calibri" w:hAnsi="Calibri" w:cs="Calibri"/>
          <w:b/>
          <w:bCs/>
          <w:color w:val="000000" w:themeColor="text1"/>
        </w:rPr>
        <w:t xml:space="preserve"> to confirm via AAC </w:t>
      </w:r>
      <w:r w:rsidR="0D369FE9" w:rsidRPr="61A68A59">
        <w:rPr>
          <w:rFonts w:ascii="Calibri" w:eastAsia="Calibri" w:hAnsi="Calibri" w:cs="Calibri"/>
          <w:b/>
          <w:bCs/>
          <w:color w:val="000000" w:themeColor="text1"/>
        </w:rPr>
        <w:t>and answer any</w:t>
      </w:r>
      <w:r w:rsidR="4643424E" w:rsidRPr="61A68A59">
        <w:rPr>
          <w:rFonts w:ascii="Calibri" w:eastAsia="Calibri" w:hAnsi="Calibri" w:cs="Calibri"/>
          <w:b/>
          <w:bCs/>
          <w:color w:val="000000" w:themeColor="text1"/>
        </w:rPr>
        <w:t xml:space="preserve"> questions. </w:t>
      </w:r>
    </w:p>
    <w:p w14:paraId="44C213E6" w14:textId="29806278" w:rsidR="4643424E" w:rsidRDefault="4643424E" w:rsidP="61A68A59">
      <w:pPr>
        <w:rPr>
          <w:rFonts w:ascii="Calibri" w:eastAsia="Calibri" w:hAnsi="Calibri" w:cs="Calibri"/>
          <w:b/>
          <w:bCs/>
          <w:color w:val="000000" w:themeColor="text1"/>
        </w:rPr>
      </w:pPr>
      <w:r w:rsidRPr="61A68A59">
        <w:rPr>
          <w:rFonts w:ascii="Calibri" w:eastAsia="Calibri" w:hAnsi="Calibri" w:cs="Calibri"/>
          <w:color w:val="000000" w:themeColor="text1"/>
        </w:rPr>
        <w:t>Background: Due to COVID, many of our students have been working from home for nearly two years now, and</w:t>
      </w:r>
      <w:r w:rsidR="013EF717" w:rsidRPr="61A68A59">
        <w:rPr>
          <w:rFonts w:ascii="Calibri" w:eastAsia="Calibri" w:hAnsi="Calibri" w:cs="Calibri"/>
          <w:color w:val="000000" w:themeColor="text1"/>
        </w:rPr>
        <w:t xml:space="preserve"> many existing</w:t>
      </w:r>
      <w:r w:rsidR="24F2F37E" w:rsidRPr="61A68A59">
        <w:rPr>
          <w:rFonts w:ascii="Calibri" w:eastAsia="Calibri" w:hAnsi="Calibri" w:cs="Calibri"/>
          <w:color w:val="000000" w:themeColor="text1"/>
        </w:rPr>
        <w:t>,</w:t>
      </w:r>
      <w:r w:rsidR="013EF717" w:rsidRPr="61A68A59">
        <w:rPr>
          <w:rFonts w:ascii="Calibri" w:eastAsia="Calibri" w:hAnsi="Calibri" w:cs="Calibri"/>
          <w:color w:val="000000" w:themeColor="text1"/>
        </w:rPr>
        <w:t xml:space="preserve"> </w:t>
      </w:r>
      <w:r w:rsidR="66F11B52" w:rsidRPr="61A68A59">
        <w:rPr>
          <w:rFonts w:ascii="Calibri" w:eastAsia="Calibri" w:hAnsi="Calibri" w:cs="Calibri"/>
          <w:color w:val="000000" w:themeColor="text1"/>
        </w:rPr>
        <w:t xml:space="preserve">non-traditional, </w:t>
      </w:r>
      <w:r w:rsidR="013EF717" w:rsidRPr="61A68A59">
        <w:rPr>
          <w:rFonts w:ascii="Calibri" w:eastAsia="Calibri" w:hAnsi="Calibri" w:cs="Calibri"/>
          <w:color w:val="000000" w:themeColor="text1"/>
        </w:rPr>
        <w:t>and new students are requesting live synchronous classes to reduce</w:t>
      </w:r>
      <w:r w:rsidR="10B42062" w:rsidRPr="61A68A59">
        <w:rPr>
          <w:rFonts w:ascii="Calibri" w:eastAsia="Calibri" w:hAnsi="Calibri" w:cs="Calibri"/>
          <w:color w:val="000000" w:themeColor="text1"/>
        </w:rPr>
        <w:t>/eliminate</w:t>
      </w:r>
      <w:r w:rsidR="013EF717" w:rsidRPr="61A68A59">
        <w:rPr>
          <w:rFonts w:ascii="Calibri" w:eastAsia="Calibri" w:hAnsi="Calibri" w:cs="Calibri"/>
          <w:color w:val="000000" w:themeColor="text1"/>
        </w:rPr>
        <w:t xml:space="preserve"> travel time and allow for a break between working and when classes start</w:t>
      </w:r>
      <w:r w:rsidR="6AA1307C" w:rsidRPr="61A68A59">
        <w:rPr>
          <w:rFonts w:ascii="Calibri" w:eastAsia="Calibri" w:hAnsi="Calibri" w:cs="Calibri"/>
          <w:color w:val="000000" w:themeColor="text1"/>
        </w:rPr>
        <w:t xml:space="preserve">. </w:t>
      </w:r>
      <w:r w:rsidR="7A23E92F" w:rsidRPr="61A68A59">
        <w:rPr>
          <w:rFonts w:ascii="Calibri" w:eastAsia="Calibri" w:hAnsi="Calibri" w:cs="Calibri"/>
          <w:color w:val="000000" w:themeColor="text1"/>
        </w:rPr>
        <w:t>Also, this allows our active military to finish their degrees even if deployed.</w:t>
      </w:r>
      <w:r w:rsidR="54B0DCEC" w:rsidRPr="61A68A59">
        <w:rPr>
          <w:rFonts w:ascii="Calibri" w:eastAsia="Calibri" w:hAnsi="Calibri" w:cs="Calibri"/>
          <w:color w:val="000000" w:themeColor="text1"/>
        </w:rPr>
        <w:t xml:space="preserve"> </w:t>
      </w:r>
    </w:p>
    <w:p w14:paraId="699E5497" w14:textId="61A8CA30" w:rsidR="55EC406E" w:rsidRDefault="55EC406E" w:rsidP="61A68A59">
      <w:pPr>
        <w:rPr>
          <w:rFonts w:ascii="Calibri" w:eastAsia="Calibri" w:hAnsi="Calibri" w:cs="Calibri"/>
          <w:b/>
          <w:bCs/>
          <w:color w:val="000000" w:themeColor="text1"/>
        </w:rPr>
      </w:pPr>
      <w:r w:rsidRPr="61A68A59">
        <w:rPr>
          <w:rFonts w:ascii="Calibri" w:eastAsia="Calibri" w:hAnsi="Calibri" w:cs="Calibri"/>
          <w:b/>
          <w:bCs/>
          <w:color w:val="000000" w:themeColor="text1"/>
        </w:rPr>
        <w:t>Passed Unanimously: Gower, Magee, Fallon, Broome, and Benson</w:t>
      </w:r>
    </w:p>
    <w:p w14:paraId="06461CD1" w14:textId="3A9F7E35" w:rsidR="61A68A59" w:rsidRDefault="61A68A59" w:rsidP="61A68A59">
      <w:pPr>
        <w:rPr>
          <w:rFonts w:ascii="Calibri" w:eastAsia="Calibri" w:hAnsi="Calibri" w:cs="Calibri"/>
          <w:color w:val="000000" w:themeColor="text1"/>
        </w:rPr>
      </w:pPr>
    </w:p>
    <w:p w14:paraId="4CF915A7" w14:textId="0F14B9A0" w:rsidR="2B7F0BE5" w:rsidRDefault="4FB9490D" w:rsidP="61A68A59">
      <w:pPr>
        <w:pStyle w:val="ListParagraph"/>
        <w:numPr>
          <w:ilvl w:val="0"/>
          <w:numId w:val="1"/>
        </w:numPr>
        <w:rPr>
          <w:rFonts w:eastAsiaTheme="minorEastAsia"/>
          <w:b/>
          <w:bCs/>
          <w:color w:val="000000" w:themeColor="text1"/>
        </w:rPr>
      </w:pPr>
      <w:r w:rsidRPr="61A68A59">
        <w:rPr>
          <w:rFonts w:ascii="Calibri" w:eastAsia="Calibri" w:hAnsi="Calibri" w:cs="Calibri"/>
          <w:b/>
          <w:bCs/>
          <w:color w:val="000000" w:themeColor="text1"/>
        </w:rPr>
        <w:t xml:space="preserve">COB: </w:t>
      </w:r>
      <w:r w:rsidR="2406044F" w:rsidRPr="61A68A59">
        <w:rPr>
          <w:rFonts w:ascii="Calibri" w:eastAsia="Calibri" w:hAnsi="Calibri" w:cs="Calibri"/>
          <w:b/>
          <w:bCs/>
          <w:color w:val="000000" w:themeColor="text1"/>
        </w:rPr>
        <w:t>Motion to c</w:t>
      </w:r>
      <w:r w:rsidRPr="61A68A59">
        <w:rPr>
          <w:rFonts w:ascii="Calibri" w:eastAsia="Calibri" w:hAnsi="Calibri" w:cs="Calibri"/>
          <w:b/>
          <w:bCs/>
          <w:color w:val="000000" w:themeColor="text1"/>
        </w:rPr>
        <w:t>hange COB entrance requirements</w:t>
      </w:r>
      <w:r w:rsidR="7FDBFFBF" w:rsidRPr="61A68A59">
        <w:rPr>
          <w:rFonts w:ascii="Calibri" w:eastAsia="Calibri" w:hAnsi="Calibri" w:cs="Calibri"/>
          <w:b/>
          <w:bCs/>
          <w:color w:val="000000" w:themeColor="text1"/>
        </w:rPr>
        <w:t xml:space="preserve"> based on data collected over the last several years.</w:t>
      </w:r>
    </w:p>
    <w:p w14:paraId="2F5B0B26" w14:textId="69FC0609" w:rsidR="49112AD2" w:rsidRDefault="49112AD2" w:rsidP="61A68A59">
      <w:pPr>
        <w:spacing w:after="200" w:line="276" w:lineRule="auto"/>
        <w:rPr>
          <w:rFonts w:ascii="Calibri" w:eastAsia="Calibri" w:hAnsi="Calibri" w:cs="Calibri"/>
          <w:color w:val="000000" w:themeColor="text1"/>
        </w:rPr>
      </w:pPr>
      <w:r w:rsidRPr="61A68A59">
        <w:rPr>
          <w:rFonts w:ascii="Calibri" w:eastAsia="Calibri" w:hAnsi="Calibri" w:cs="Calibri"/>
          <w:color w:val="000000" w:themeColor="text1"/>
        </w:rPr>
        <w:t>Below is the language in the undergraduate catalog.  Language in red should be removed.  Language highlighted in yellow should be added.  This edit should be made for all of the College of Business majors, including the “Business Administration”, “Marketing”, “Accounting”, and International Business” majors.</w:t>
      </w:r>
    </w:p>
    <w:p w14:paraId="5A303D7D" w14:textId="3BAC3DE0" w:rsidR="49112AD2" w:rsidRDefault="49112AD2" w:rsidP="61A68A59">
      <w:pPr>
        <w:spacing w:after="200" w:line="276" w:lineRule="auto"/>
        <w:ind w:left="720"/>
        <w:rPr>
          <w:rFonts w:ascii="Calibri" w:eastAsia="Calibri" w:hAnsi="Calibri" w:cs="Calibri"/>
          <w:color w:val="000000" w:themeColor="text1"/>
        </w:rPr>
      </w:pPr>
      <w:r w:rsidRPr="61A68A59">
        <w:rPr>
          <w:rFonts w:ascii="Calibri" w:eastAsia="Calibri" w:hAnsi="Calibri" w:cs="Calibri"/>
          <w:color w:val="000000" w:themeColor="text1"/>
        </w:rPr>
        <w:t>Incoming students interested in pursuing a program of study in business will initially be designated as “pre-business.” Normally this designation will be held for no more than the first two years. After admission to the College of Business, a student may declare a business major.</w:t>
      </w:r>
    </w:p>
    <w:p w14:paraId="508A2339" w14:textId="775BEEFE" w:rsidR="49112AD2" w:rsidRDefault="49112AD2" w:rsidP="61A68A59">
      <w:pPr>
        <w:spacing w:after="200" w:line="276" w:lineRule="auto"/>
        <w:ind w:left="720"/>
        <w:rPr>
          <w:rFonts w:ascii="Calibri" w:eastAsia="Calibri" w:hAnsi="Calibri" w:cs="Calibri"/>
          <w:color w:val="FF0000"/>
        </w:rPr>
      </w:pPr>
      <w:r w:rsidRPr="61A68A59">
        <w:rPr>
          <w:rFonts w:ascii="Calibri" w:eastAsia="Calibri" w:hAnsi="Calibri" w:cs="Calibri"/>
          <w:color w:val="000000" w:themeColor="text1"/>
        </w:rPr>
        <w:t xml:space="preserve">To be admitted to the College of Business, students must have earned a cumulative grade point average of 2.0 or better after completing at least 27 college credits </w:t>
      </w:r>
      <w:r w:rsidRPr="61A68A59">
        <w:rPr>
          <w:rFonts w:ascii="Calibri" w:eastAsia="Calibri" w:hAnsi="Calibri" w:cs="Calibri"/>
          <w:color w:val="000000" w:themeColor="text1"/>
          <w:highlight w:val="yellow"/>
        </w:rPr>
        <w:t>and a grade of “C” or higher in ACCT 102</w:t>
      </w:r>
      <w:r w:rsidRPr="61A68A59">
        <w:rPr>
          <w:rFonts w:ascii="Calibri" w:eastAsia="Calibri" w:hAnsi="Calibri" w:cs="Calibri"/>
          <w:color w:val="000000" w:themeColor="text1"/>
        </w:rPr>
        <w:t xml:space="preserve">. </w:t>
      </w:r>
      <w:r w:rsidRPr="61A68A59">
        <w:rPr>
          <w:rFonts w:ascii="Calibri" w:eastAsia="Calibri" w:hAnsi="Calibri" w:cs="Calibri"/>
          <w:strike/>
          <w:color w:val="FF0000"/>
        </w:rPr>
        <w:t>Additionally, applicants will have completed the following courses for the College of Business and have earned an average GPA of 2.5 in these five courses:</w:t>
      </w:r>
    </w:p>
    <w:p w14:paraId="360016D8" w14:textId="09944B36" w:rsidR="49112AD2" w:rsidRDefault="49112AD2" w:rsidP="61A68A59">
      <w:pPr>
        <w:spacing w:after="200" w:line="276" w:lineRule="auto"/>
        <w:ind w:left="720"/>
        <w:rPr>
          <w:rFonts w:ascii="Calibri" w:eastAsia="Calibri" w:hAnsi="Calibri" w:cs="Calibri"/>
          <w:color w:val="FF0000"/>
        </w:rPr>
      </w:pPr>
      <w:r w:rsidRPr="61A68A59">
        <w:rPr>
          <w:rFonts w:ascii="Calibri" w:eastAsia="Calibri" w:hAnsi="Calibri" w:cs="Calibri"/>
          <w:strike/>
          <w:color w:val="FF0000"/>
        </w:rPr>
        <w:lastRenderedPageBreak/>
        <w:t>ACCT 101</w:t>
      </w:r>
      <w:r>
        <w:tab/>
      </w:r>
      <w:r w:rsidRPr="61A68A59">
        <w:rPr>
          <w:rFonts w:ascii="Calibri" w:eastAsia="Calibri" w:hAnsi="Calibri" w:cs="Calibri"/>
          <w:strike/>
          <w:color w:val="FF0000"/>
        </w:rPr>
        <w:t>Principles of Accounting I 1</w:t>
      </w:r>
      <w:r>
        <w:tab/>
      </w:r>
      <w:r w:rsidRPr="61A68A59">
        <w:rPr>
          <w:rFonts w:ascii="Calibri" w:eastAsia="Calibri" w:hAnsi="Calibri" w:cs="Calibri"/>
          <w:strike/>
          <w:color w:val="FF0000"/>
        </w:rPr>
        <w:t>3</w:t>
      </w:r>
    </w:p>
    <w:p w14:paraId="0ABEDD9B" w14:textId="335173A3" w:rsidR="49112AD2" w:rsidRDefault="49112AD2" w:rsidP="61A68A59">
      <w:pPr>
        <w:spacing w:after="200" w:line="276" w:lineRule="auto"/>
        <w:ind w:left="720"/>
        <w:rPr>
          <w:rFonts w:ascii="Calibri" w:eastAsia="Calibri" w:hAnsi="Calibri" w:cs="Calibri"/>
          <w:color w:val="FF0000"/>
        </w:rPr>
      </w:pPr>
      <w:r w:rsidRPr="61A68A59">
        <w:rPr>
          <w:rFonts w:ascii="Calibri" w:eastAsia="Calibri" w:hAnsi="Calibri" w:cs="Calibri"/>
          <w:strike/>
          <w:color w:val="FF0000"/>
        </w:rPr>
        <w:t>ACCT 102</w:t>
      </w:r>
      <w:r>
        <w:tab/>
      </w:r>
      <w:r w:rsidRPr="61A68A59">
        <w:rPr>
          <w:rFonts w:ascii="Calibri" w:eastAsia="Calibri" w:hAnsi="Calibri" w:cs="Calibri"/>
          <w:strike/>
          <w:color w:val="FF0000"/>
        </w:rPr>
        <w:t>Principles of Accounting II 1</w:t>
      </w:r>
      <w:r>
        <w:tab/>
      </w:r>
      <w:r w:rsidRPr="61A68A59">
        <w:rPr>
          <w:rFonts w:ascii="Calibri" w:eastAsia="Calibri" w:hAnsi="Calibri" w:cs="Calibri"/>
          <w:strike/>
          <w:color w:val="FF0000"/>
        </w:rPr>
        <w:t>3</w:t>
      </w:r>
    </w:p>
    <w:p w14:paraId="6C3E7B2A" w14:textId="4C67A580" w:rsidR="49112AD2" w:rsidRDefault="49112AD2" w:rsidP="61A68A59">
      <w:pPr>
        <w:spacing w:after="200" w:line="276" w:lineRule="auto"/>
        <w:ind w:left="720"/>
        <w:rPr>
          <w:rFonts w:ascii="Calibri" w:eastAsia="Calibri" w:hAnsi="Calibri" w:cs="Calibri"/>
          <w:color w:val="FF0000"/>
        </w:rPr>
      </w:pPr>
      <w:r w:rsidRPr="61A68A59">
        <w:rPr>
          <w:rFonts w:ascii="Calibri" w:eastAsia="Calibri" w:hAnsi="Calibri" w:cs="Calibri"/>
          <w:strike/>
          <w:color w:val="FF0000"/>
        </w:rPr>
        <w:t>ECON 201B</w:t>
      </w:r>
      <w:r>
        <w:tab/>
      </w:r>
      <w:r w:rsidRPr="61A68A59">
        <w:rPr>
          <w:rFonts w:ascii="Calibri" w:eastAsia="Calibri" w:hAnsi="Calibri" w:cs="Calibri"/>
          <w:strike/>
          <w:color w:val="FF0000"/>
        </w:rPr>
        <w:t>Principles of Macroeconomics</w:t>
      </w:r>
      <w:r>
        <w:tab/>
      </w:r>
      <w:r w:rsidRPr="61A68A59">
        <w:rPr>
          <w:rFonts w:ascii="Calibri" w:eastAsia="Calibri" w:hAnsi="Calibri" w:cs="Calibri"/>
          <w:strike/>
          <w:color w:val="FF0000"/>
        </w:rPr>
        <w:t>3</w:t>
      </w:r>
    </w:p>
    <w:p w14:paraId="0941FC5E" w14:textId="26F6898F" w:rsidR="49112AD2" w:rsidRDefault="49112AD2" w:rsidP="61A68A59">
      <w:pPr>
        <w:spacing w:after="200" w:line="276" w:lineRule="auto"/>
        <w:ind w:left="720"/>
        <w:rPr>
          <w:rFonts w:ascii="Calibri" w:eastAsia="Calibri" w:hAnsi="Calibri" w:cs="Calibri"/>
          <w:color w:val="FF0000"/>
        </w:rPr>
      </w:pPr>
      <w:r w:rsidRPr="61A68A59">
        <w:rPr>
          <w:rFonts w:ascii="Calibri" w:eastAsia="Calibri" w:hAnsi="Calibri" w:cs="Calibri"/>
          <w:strike/>
          <w:color w:val="FF0000"/>
        </w:rPr>
        <w:t>ECON 202B</w:t>
      </w:r>
      <w:r>
        <w:tab/>
      </w:r>
      <w:r w:rsidRPr="61A68A59">
        <w:rPr>
          <w:rFonts w:ascii="Calibri" w:eastAsia="Calibri" w:hAnsi="Calibri" w:cs="Calibri"/>
          <w:strike/>
          <w:color w:val="FF0000"/>
        </w:rPr>
        <w:t>Principles of Microeconomics</w:t>
      </w:r>
      <w:r>
        <w:tab/>
      </w:r>
      <w:r w:rsidRPr="61A68A59">
        <w:rPr>
          <w:rFonts w:ascii="Calibri" w:eastAsia="Calibri" w:hAnsi="Calibri" w:cs="Calibri"/>
          <w:strike/>
          <w:color w:val="FF0000"/>
        </w:rPr>
        <w:t>3</w:t>
      </w:r>
    </w:p>
    <w:p w14:paraId="629B413E" w14:textId="5B049114" w:rsidR="49112AD2" w:rsidRDefault="49112AD2" w:rsidP="61A68A59">
      <w:pPr>
        <w:spacing w:after="200" w:line="276" w:lineRule="auto"/>
        <w:ind w:left="720"/>
        <w:rPr>
          <w:rFonts w:ascii="Calibri" w:eastAsia="Calibri" w:hAnsi="Calibri" w:cs="Calibri"/>
          <w:color w:val="FF0000"/>
        </w:rPr>
      </w:pPr>
      <w:r w:rsidRPr="61A68A59">
        <w:rPr>
          <w:rFonts w:ascii="Calibri" w:eastAsia="Calibri" w:hAnsi="Calibri" w:cs="Calibri"/>
          <w:strike/>
          <w:color w:val="FF0000"/>
        </w:rPr>
        <w:t>STAT 180</w:t>
      </w:r>
      <w:r>
        <w:tab/>
      </w:r>
      <w:r w:rsidRPr="61A68A59">
        <w:rPr>
          <w:rFonts w:ascii="Calibri" w:eastAsia="Calibri" w:hAnsi="Calibri" w:cs="Calibri"/>
          <w:strike/>
          <w:color w:val="FF0000"/>
        </w:rPr>
        <w:t>Introduction to Statistics ((or equivalents))</w:t>
      </w:r>
      <w:r>
        <w:tab/>
      </w:r>
      <w:r w:rsidRPr="61A68A59">
        <w:rPr>
          <w:rFonts w:ascii="Calibri" w:eastAsia="Calibri" w:hAnsi="Calibri" w:cs="Calibri"/>
          <w:strike/>
          <w:color w:val="FF0000"/>
        </w:rPr>
        <w:t>3</w:t>
      </w:r>
    </w:p>
    <w:p w14:paraId="69828D2F" w14:textId="3311DB9C" w:rsidR="49112AD2" w:rsidRDefault="49112AD2" w:rsidP="61A68A59">
      <w:pPr>
        <w:spacing w:after="200" w:line="276" w:lineRule="auto"/>
        <w:ind w:left="720"/>
        <w:rPr>
          <w:rFonts w:ascii="Calibri" w:eastAsia="Calibri" w:hAnsi="Calibri" w:cs="Calibri"/>
          <w:color w:val="FF0000"/>
        </w:rPr>
      </w:pPr>
      <w:r w:rsidRPr="61A68A59">
        <w:rPr>
          <w:rFonts w:ascii="Calibri" w:eastAsia="Calibri" w:hAnsi="Calibri" w:cs="Calibri"/>
          <w:strike/>
          <w:color w:val="FF0000"/>
        </w:rPr>
        <w:t>1</w:t>
      </w:r>
      <w:r>
        <w:tab/>
      </w:r>
      <w:r w:rsidRPr="61A68A59">
        <w:rPr>
          <w:rFonts w:ascii="Calibri" w:eastAsia="Calibri" w:hAnsi="Calibri" w:cs="Calibri"/>
          <w:strike/>
          <w:color w:val="FF0000"/>
        </w:rPr>
        <w:t>ACCT 110 Intensive Principles of Accounting may substitute for ACCT 101 Principles of Accounting I and ACCT 102 Principles of Accounting II.</w:t>
      </w:r>
    </w:p>
    <w:p w14:paraId="181461F6" w14:textId="4EBB43AC" w:rsidR="49112AD2" w:rsidRDefault="49112AD2" w:rsidP="61A68A59">
      <w:pPr>
        <w:spacing w:after="200" w:line="276" w:lineRule="auto"/>
        <w:ind w:left="720"/>
        <w:rPr>
          <w:rFonts w:ascii="Calibri" w:eastAsia="Calibri" w:hAnsi="Calibri" w:cs="Calibri"/>
          <w:color w:val="FF0000"/>
        </w:rPr>
      </w:pPr>
      <w:r w:rsidRPr="61A68A59">
        <w:rPr>
          <w:rFonts w:ascii="Calibri" w:eastAsia="Calibri" w:hAnsi="Calibri" w:cs="Calibri"/>
          <w:strike/>
          <w:color w:val="FF0000"/>
        </w:rPr>
        <w:t>In addition to the requirements above, transfer students must have earned a cumulative GPA of 2.0 in 15 semester hours taken at the University of Mary Washington and have completed 9 semester hours of required College of Business coursework with a cumulative GPA of 2.5 to be admitted to the College of Business.</w:t>
      </w:r>
    </w:p>
    <w:p w14:paraId="23620ECF" w14:textId="5FCCC510" w:rsidR="61A68A59" w:rsidRDefault="61A68A59" w:rsidP="61A68A59">
      <w:pPr>
        <w:rPr>
          <w:rFonts w:ascii="Calibri" w:eastAsia="Calibri" w:hAnsi="Calibri" w:cs="Calibri"/>
          <w:color w:val="000000" w:themeColor="text1"/>
        </w:rPr>
      </w:pPr>
    </w:p>
    <w:p w14:paraId="7524C6C9" w14:textId="2B49CB81" w:rsidR="2B7F0BE5" w:rsidRDefault="59186F13" w:rsidP="61A68A59">
      <w:pPr>
        <w:rPr>
          <w:rFonts w:ascii="Calibri" w:eastAsia="Calibri" w:hAnsi="Calibri" w:cs="Calibri"/>
          <w:color w:val="000000" w:themeColor="text1"/>
        </w:rPr>
      </w:pPr>
      <w:r w:rsidRPr="61A68A59">
        <w:rPr>
          <w:rFonts w:ascii="Calibri" w:eastAsia="Calibri" w:hAnsi="Calibri" w:cs="Calibri"/>
          <w:color w:val="000000" w:themeColor="text1"/>
        </w:rPr>
        <w:t>Motion passes unanimously: Gower, Magee, Fallon, Broome, Benson</w:t>
      </w:r>
    </w:p>
    <w:p w14:paraId="4D307F2F" w14:textId="3E4EB304" w:rsidR="61A68A59" w:rsidRDefault="61A68A59" w:rsidP="61A68A59">
      <w:pPr>
        <w:rPr>
          <w:rFonts w:ascii="Calibri" w:eastAsia="Calibri" w:hAnsi="Calibri" w:cs="Calibri"/>
          <w:color w:val="000000" w:themeColor="text1"/>
        </w:rPr>
      </w:pPr>
    </w:p>
    <w:p w14:paraId="7E5630D6" w14:textId="331214F2" w:rsidR="59186F13" w:rsidRDefault="59186F13" w:rsidP="61A68A59">
      <w:pPr>
        <w:rPr>
          <w:rFonts w:ascii="Calibri" w:eastAsia="Calibri" w:hAnsi="Calibri" w:cs="Calibri"/>
          <w:color w:val="000000" w:themeColor="text1"/>
        </w:rPr>
      </w:pPr>
      <w:r w:rsidRPr="61A68A59">
        <w:rPr>
          <w:rFonts w:ascii="Calibri" w:eastAsia="Calibri" w:hAnsi="Calibri" w:cs="Calibri"/>
          <w:color w:val="000000" w:themeColor="text1"/>
        </w:rPr>
        <w:t>Respectfully submitted,</w:t>
      </w:r>
    </w:p>
    <w:p w14:paraId="2D4D1848" w14:textId="3471CFA5" w:rsidR="59186F13" w:rsidRDefault="59186F13" w:rsidP="61A68A59">
      <w:pPr>
        <w:rPr>
          <w:rFonts w:ascii="Calibri" w:eastAsia="Calibri" w:hAnsi="Calibri" w:cs="Calibri"/>
          <w:color w:val="000000" w:themeColor="text1"/>
        </w:rPr>
      </w:pPr>
      <w:r w:rsidRPr="61A68A59">
        <w:rPr>
          <w:rFonts w:ascii="Calibri" w:eastAsia="Calibri" w:hAnsi="Calibri" w:cs="Calibri"/>
          <w:color w:val="000000" w:themeColor="text1"/>
        </w:rPr>
        <w:t>Kim Gower</w:t>
      </w:r>
    </w:p>
    <w:p w14:paraId="4C6D6544" w14:textId="3764B7F4" w:rsidR="59186F13" w:rsidRDefault="59186F13" w:rsidP="61A68A59">
      <w:pPr>
        <w:rPr>
          <w:rFonts w:ascii="Calibri" w:eastAsia="Calibri" w:hAnsi="Calibri" w:cs="Calibri"/>
          <w:color w:val="000000" w:themeColor="text1"/>
        </w:rPr>
      </w:pPr>
      <w:r w:rsidRPr="61A68A59">
        <w:rPr>
          <w:rFonts w:ascii="Calibri" w:eastAsia="Calibri" w:hAnsi="Calibri" w:cs="Calibri"/>
          <w:color w:val="000000" w:themeColor="text1"/>
        </w:rPr>
        <w:t>Chair</w:t>
      </w:r>
    </w:p>
    <w:p w14:paraId="1DBB684C" w14:textId="0900F18B" w:rsidR="2B7F0BE5" w:rsidRDefault="2B7F0BE5" w:rsidP="2B7F0BE5"/>
    <w:p w14:paraId="0B853AD2" w14:textId="59337A79" w:rsidR="2B7F0BE5" w:rsidRDefault="2B7F0BE5" w:rsidP="2B7F0BE5"/>
    <w:sectPr w:rsidR="2B7F0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21FBD"/>
    <w:multiLevelType w:val="hybridMultilevel"/>
    <w:tmpl w:val="8BE0B598"/>
    <w:lvl w:ilvl="0" w:tplc="0F3A8728">
      <w:start w:val="1"/>
      <w:numFmt w:val="decimal"/>
      <w:lvlText w:val="%1."/>
      <w:lvlJc w:val="left"/>
      <w:pPr>
        <w:ind w:left="720" w:hanging="360"/>
      </w:pPr>
    </w:lvl>
    <w:lvl w:ilvl="1" w:tplc="8800F0DC">
      <w:start w:val="1"/>
      <w:numFmt w:val="lowerLetter"/>
      <w:lvlText w:val="%2."/>
      <w:lvlJc w:val="left"/>
      <w:pPr>
        <w:ind w:left="1440" w:hanging="360"/>
      </w:pPr>
    </w:lvl>
    <w:lvl w:ilvl="2" w:tplc="C616B752">
      <w:start w:val="1"/>
      <w:numFmt w:val="lowerRoman"/>
      <w:lvlText w:val="%3."/>
      <w:lvlJc w:val="right"/>
      <w:pPr>
        <w:ind w:left="2160" w:hanging="180"/>
      </w:pPr>
    </w:lvl>
    <w:lvl w:ilvl="3" w:tplc="47DAE478">
      <w:start w:val="1"/>
      <w:numFmt w:val="decimal"/>
      <w:lvlText w:val="%4."/>
      <w:lvlJc w:val="left"/>
      <w:pPr>
        <w:ind w:left="2880" w:hanging="360"/>
      </w:pPr>
    </w:lvl>
    <w:lvl w:ilvl="4" w:tplc="4E241D6E">
      <w:start w:val="1"/>
      <w:numFmt w:val="lowerLetter"/>
      <w:lvlText w:val="%5."/>
      <w:lvlJc w:val="left"/>
      <w:pPr>
        <w:ind w:left="3600" w:hanging="360"/>
      </w:pPr>
    </w:lvl>
    <w:lvl w:ilvl="5" w:tplc="6834F3F0">
      <w:start w:val="1"/>
      <w:numFmt w:val="lowerRoman"/>
      <w:lvlText w:val="%6."/>
      <w:lvlJc w:val="right"/>
      <w:pPr>
        <w:ind w:left="4320" w:hanging="180"/>
      </w:pPr>
    </w:lvl>
    <w:lvl w:ilvl="6" w:tplc="E51E34E6">
      <w:start w:val="1"/>
      <w:numFmt w:val="decimal"/>
      <w:lvlText w:val="%7."/>
      <w:lvlJc w:val="left"/>
      <w:pPr>
        <w:ind w:left="5040" w:hanging="360"/>
      </w:pPr>
    </w:lvl>
    <w:lvl w:ilvl="7" w:tplc="AF76F3EE">
      <w:start w:val="1"/>
      <w:numFmt w:val="lowerLetter"/>
      <w:lvlText w:val="%8."/>
      <w:lvlJc w:val="left"/>
      <w:pPr>
        <w:ind w:left="5760" w:hanging="360"/>
      </w:pPr>
    </w:lvl>
    <w:lvl w:ilvl="8" w:tplc="7FF2E0A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61B997"/>
    <w:rsid w:val="00762C5B"/>
    <w:rsid w:val="008A2884"/>
    <w:rsid w:val="013EF717"/>
    <w:rsid w:val="0219B683"/>
    <w:rsid w:val="02730C0A"/>
    <w:rsid w:val="03B586E4"/>
    <w:rsid w:val="05FF1B97"/>
    <w:rsid w:val="060EF721"/>
    <w:rsid w:val="068610C9"/>
    <w:rsid w:val="06D3FF49"/>
    <w:rsid w:val="0BF15B63"/>
    <w:rsid w:val="0D369FE9"/>
    <w:rsid w:val="10B42062"/>
    <w:rsid w:val="11BA184F"/>
    <w:rsid w:val="125F4ADF"/>
    <w:rsid w:val="15F42725"/>
    <w:rsid w:val="16A42219"/>
    <w:rsid w:val="1979B667"/>
    <w:rsid w:val="19DBC2DB"/>
    <w:rsid w:val="2406044F"/>
    <w:rsid w:val="24F2F37E"/>
    <w:rsid w:val="27E743BB"/>
    <w:rsid w:val="2B7F0BE5"/>
    <w:rsid w:val="2B9D946B"/>
    <w:rsid w:val="2D01B3E9"/>
    <w:rsid w:val="2E9D844A"/>
    <w:rsid w:val="3059D66A"/>
    <w:rsid w:val="34034F85"/>
    <w:rsid w:val="35B8513C"/>
    <w:rsid w:val="35FFF49D"/>
    <w:rsid w:val="365D2262"/>
    <w:rsid w:val="3720A706"/>
    <w:rsid w:val="379BC4FE"/>
    <w:rsid w:val="386AE1AC"/>
    <w:rsid w:val="38B8F87D"/>
    <w:rsid w:val="39382983"/>
    <w:rsid w:val="3BDE57D7"/>
    <w:rsid w:val="3D873D6A"/>
    <w:rsid w:val="3DAAA86F"/>
    <w:rsid w:val="3EB0CD36"/>
    <w:rsid w:val="4643424E"/>
    <w:rsid w:val="489BC78E"/>
    <w:rsid w:val="48CCAF8A"/>
    <w:rsid w:val="49112AD2"/>
    <w:rsid w:val="4D61B997"/>
    <w:rsid w:val="4FB9490D"/>
    <w:rsid w:val="52173BE0"/>
    <w:rsid w:val="54B0DCEC"/>
    <w:rsid w:val="55EC406E"/>
    <w:rsid w:val="59186F13"/>
    <w:rsid w:val="5EC70903"/>
    <w:rsid w:val="5ED6A257"/>
    <w:rsid w:val="61A68A59"/>
    <w:rsid w:val="627518CB"/>
    <w:rsid w:val="62FA1886"/>
    <w:rsid w:val="66F11B52"/>
    <w:rsid w:val="67648241"/>
    <w:rsid w:val="6AA1307C"/>
    <w:rsid w:val="6EFAA7DB"/>
    <w:rsid w:val="77AC320D"/>
    <w:rsid w:val="7A23E92F"/>
    <w:rsid w:val="7A5A186A"/>
    <w:rsid w:val="7E41B420"/>
    <w:rsid w:val="7F442234"/>
    <w:rsid w:val="7FDBF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997"/>
  <w15:chartTrackingRefBased/>
  <w15:docId w15:val="{4B178763-9304-4646-971B-041D4ED8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ff8107-9b94-4070-95f6-5d262b67dbed">
      <UserInfo>
        <DisplayName>Kristin Marsh (kmarsh)</DisplayName>
        <AccountId>28</AccountId>
        <AccountType/>
      </UserInfo>
      <UserInfo>
        <DisplayName>Melissa Wells (mwells)</DisplayName>
        <AccountId>31</AccountId>
        <AccountType/>
      </UserInfo>
      <UserInfo>
        <DisplayName>Ken Machande (kmachand)</DisplayName>
        <AccountId>32</AccountId>
        <AccountType/>
      </UserInfo>
      <UserInfo>
        <DisplayName>John Marsh (jmarsh)</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F8DEB8FE02D4281A34A881A05BBD8" ma:contentTypeVersion="6" ma:contentTypeDescription="Create a new document." ma:contentTypeScope="" ma:versionID="cf4d34d3b89ec73a1c92604ab7b124e6">
  <xsd:schema xmlns:xsd="http://www.w3.org/2001/XMLSchema" xmlns:xs="http://www.w3.org/2001/XMLSchema" xmlns:p="http://schemas.microsoft.com/office/2006/metadata/properties" xmlns:ns2="41ff8107-9b94-4070-95f6-5d262b67dbed" xmlns:ns3="30cd6363-38ca-48eb-a1e2-4bcc5e03b177" targetNamespace="http://schemas.microsoft.com/office/2006/metadata/properties" ma:root="true" ma:fieldsID="8c7a3b4023601bcb6e13fbb9bb601b6d" ns2:_="" ns3:_="">
    <xsd:import namespace="41ff8107-9b94-4070-95f6-5d262b67dbed"/>
    <xsd:import namespace="30cd6363-38ca-48eb-a1e2-4bcc5e03b1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f8107-9b94-4070-95f6-5d262b67db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d6363-38ca-48eb-a1e2-4bcc5e03b1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5A608-244A-410D-A42E-48DFB28F17D5}">
  <ds:schemaRefs>
    <ds:schemaRef ds:uri="http://schemas.microsoft.com/office/2006/metadata/properties"/>
    <ds:schemaRef ds:uri="http://schemas.microsoft.com/office/infopath/2007/PartnerControls"/>
    <ds:schemaRef ds:uri="41ff8107-9b94-4070-95f6-5d262b67dbed"/>
  </ds:schemaRefs>
</ds:datastoreItem>
</file>

<file path=customXml/itemProps2.xml><?xml version="1.0" encoding="utf-8"?>
<ds:datastoreItem xmlns:ds="http://schemas.openxmlformats.org/officeDocument/2006/customXml" ds:itemID="{B8B0EF0B-3ED1-4958-B06D-71D9E42985A0}">
  <ds:schemaRefs>
    <ds:schemaRef ds:uri="http://schemas.microsoft.com/sharepoint/v3/contenttype/forms"/>
  </ds:schemaRefs>
</ds:datastoreItem>
</file>

<file path=customXml/itemProps3.xml><?xml version="1.0" encoding="utf-8"?>
<ds:datastoreItem xmlns:ds="http://schemas.openxmlformats.org/officeDocument/2006/customXml" ds:itemID="{326C2239-2B94-433C-BD9D-0CF161C55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f8107-9b94-4070-95f6-5d262b67dbed"/>
    <ds:schemaRef ds:uri="30cd6363-38ca-48eb-a1e2-4bcc5e03b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Gower (kgower)</dc:creator>
  <cp:keywords/>
  <dc:description/>
  <cp:lastModifiedBy>Kristin Marsh (kmarsh)</cp:lastModifiedBy>
  <cp:revision>2</cp:revision>
  <dcterms:created xsi:type="dcterms:W3CDTF">2022-02-02T00:27:00Z</dcterms:created>
  <dcterms:modified xsi:type="dcterms:W3CDTF">2022-02-02T00:27:00Z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0x01010023AF8DEB8FE02D4281A34A881A05BBD8</vt:lpwstr>
  </property>
</Properties>
</file>