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0920" w14:textId="2162D3E2" w:rsidR="00883876" w:rsidRDefault="00883876" w:rsidP="00A70C56">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Motion passed by University Academic Affairs Committee 2/23/2021</w:t>
      </w:r>
    </w:p>
    <w:p w14:paraId="6767592C" w14:textId="77777777" w:rsidR="00883876" w:rsidRDefault="00883876" w:rsidP="00A70C56">
      <w:pPr>
        <w:outlineLvl w:val="0"/>
        <w:rPr>
          <w:rFonts w:ascii="Times New Roman" w:eastAsia="Times New Roman" w:hAnsi="Times New Roman" w:cs="Times New Roman"/>
          <w:b/>
          <w:bCs/>
          <w:kern w:val="36"/>
        </w:rPr>
      </w:pPr>
    </w:p>
    <w:p w14:paraId="6F032551" w14:textId="483B9E43" w:rsidR="00A70C56" w:rsidRDefault="00A70C56" w:rsidP="00A70C56">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Temporary </w:t>
      </w:r>
      <w:r w:rsidR="00883876">
        <w:rPr>
          <w:rFonts w:ascii="Times New Roman" w:eastAsia="Times New Roman" w:hAnsi="Times New Roman" w:cs="Times New Roman"/>
          <w:b/>
          <w:bCs/>
          <w:kern w:val="36"/>
        </w:rPr>
        <w:t xml:space="preserve">policy </w:t>
      </w:r>
      <w:r>
        <w:rPr>
          <w:rFonts w:ascii="Times New Roman" w:eastAsia="Times New Roman" w:hAnsi="Times New Roman" w:cs="Times New Roman"/>
          <w:b/>
          <w:bCs/>
          <w:kern w:val="36"/>
        </w:rPr>
        <w:t xml:space="preserve">change for </w:t>
      </w:r>
      <w:r w:rsidR="00883876">
        <w:rPr>
          <w:rFonts w:ascii="Times New Roman" w:eastAsia="Times New Roman" w:hAnsi="Times New Roman" w:cs="Times New Roman"/>
          <w:b/>
          <w:bCs/>
          <w:kern w:val="36"/>
        </w:rPr>
        <w:t xml:space="preserve">Nonacademic Administrative Withdrawal for </w:t>
      </w:r>
      <w:r>
        <w:rPr>
          <w:rFonts w:ascii="Times New Roman" w:eastAsia="Times New Roman" w:hAnsi="Times New Roman" w:cs="Times New Roman"/>
          <w:b/>
          <w:bCs/>
          <w:kern w:val="36"/>
        </w:rPr>
        <w:t>Spring 2021 and Summer 2021</w:t>
      </w:r>
    </w:p>
    <w:p w14:paraId="66BB9779" w14:textId="77777777" w:rsidR="00A70C56" w:rsidRDefault="00A70C56" w:rsidP="00A70C56">
      <w:pPr>
        <w:outlineLvl w:val="0"/>
        <w:rPr>
          <w:rFonts w:ascii="Times New Roman" w:eastAsia="Times New Roman" w:hAnsi="Times New Roman" w:cs="Times New Roman"/>
          <w:b/>
          <w:bCs/>
          <w:kern w:val="36"/>
        </w:rPr>
      </w:pPr>
    </w:p>
    <w:p w14:paraId="630FC4F0" w14:textId="318D85B3" w:rsidR="00A70C56" w:rsidRPr="00467E19" w:rsidRDefault="00A70C56" w:rsidP="00467E19">
      <w:pPr>
        <w:outlineLvl w:val="0"/>
        <w:rPr>
          <w:rFonts w:ascii="Times New Roman" w:eastAsia="Times New Roman" w:hAnsi="Times New Roman" w:cs="Times New Roman"/>
          <w:i/>
        </w:rPr>
      </w:pPr>
      <w:r w:rsidRPr="00AE1B29">
        <w:rPr>
          <w:rFonts w:ascii="Times New Roman" w:eastAsia="Times New Roman" w:hAnsi="Times New Roman" w:cs="Times New Roman"/>
          <w:bCs/>
          <w:kern w:val="36"/>
        </w:rPr>
        <w:t>In spring 2021</w:t>
      </w:r>
      <w:r>
        <w:rPr>
          <w:rFonts w:ascii="Times New Roman" w:eastAsia="Times New Roman" w:hAnsi="Times New Roman" w:cs="Times New Roman"/>
          <w:bCs/>
          <w:kern w:val="36"/>
        </w:rPr>
        <w:t xml:space="preserve"> and summer 2021</w:t>
      </w:r>
      <w:r w:rsidRPr="00AE1B29">
        <w:rPr>
          <w:rFonts w:ascii="Times New Roman" w:eastAsia="Times New Roman" w:hAnsi="Times New Roman" w:cs="Times New Roman"/>
          <w:bCs/>
          <w:kern w:val="36"/>
        </w:rPr>
        <w:t xml:space="preserve"> the </w:t>
      </w:r>
      <w:r>
        <w:rPr>
          <w:rFonts w:ascii="Times New Roman" w:eastAsia="Times New Roman" w:hAnsi="Times New Roman" w:cs="Times New Roman"/>
          <w:bCs/>
          <w:kern w:val="36"/>
        </w:rPr>
        <w:t xml:space="preserve">policy governing </w:t>
      </w:r>
      <w:r w:rsidRPr="00AE1B29">
        <w:rPr>
          <w:rFonts w:ascii="Times New Roman" w:eastAsia="Times New Roman" w:hAnsi="Times New Roman" w:cs="Times New Roman"/>
          <w:bCs/>
          <w:kern w:val="36"/>
        </w:rPr>
        <w:t xml:space="preserve">Administrative Withdrawal </w:t>
      </w:r>
      <w:r>
        <w:rPr>
          <w:rFonts w:ascii="Times New Roman" w:eastAsia="Times New Roman" w:hAnsi="Times New Roman" w:cs="Times New Roman"/>
          <w:bCs/>
          <w:kern w:val="36"/>
        </w:rPr>
        <w:t xml:space="preserve">(Non-Academic) shall be </w:t>
      </w:r>
      <w:r w:rsidRPr="00AE1B29">
        <w:rPr>
          <w:rFonts w:ascii="Times New Roman" w:eastAsia="Times New Roman" w:hAnsi="Times New Roman" w:cs="Times New Roman"/>
          <w:bCs/>
          <w:kern w:val="36"/>
        </w:rPr>
        <w:t xml:space="preserve">expanded to provide additional temporary support for students in lieu of the discontinuation of the </w:t>
      </w:r>
      <w:r>
        <w:rPr>
          <w:rFonts w:ascii="Times New Roman" w:eastAsia="Times New Roman" w:hAnsi="Times New Roman" w:cs="Times New Roman"/>
          <w:bCs/>
          <w:kern w:val="36"/>
        </w:rPr>
        <w:t xml:space="preserve">COVID-19 </w:t>
      </w:r>
      <w:r w:rsidRPr="00AE1B29">
        <w:rPr>
          <w:rFonts w:ascii="Times New Roman" w:eastAsia="Times New Roman" w:hAnsi="Times New Roman" w:cs="Times New Roman"/>
          <w:bCs/>
          <w:kern w:val="36"/>
        </w:rPr>
        <w:t xml:space="preserve">alternate grading scale </w:t>
      </w:r>
      <w:r>
        <w:rPr>
          <w:rFonts w:ascii="Times New Roman" w:eastAsia="Times New Roman" w:hAnsi="Times New Roman" w:cs="Times New Roman"/>
          <w:bCs/>
          <w:kern w:val="36"/>
        </w:rPr>
        <w:t xml:space="preserve">in effect for </w:t>
      </w:r>
      <w:r w:rsidRPr="00AE1B29">
        <w:rPr>
          <w:rFonts w:ascii="Times New Roman" w:eastAsia="Times New Roman" w:hAnsi="Times New Roman" w:cs="Times New Roman"/>
          <w:bCs/>
          <w:kern w:val="36"/>
        </w:rPr>
        <w:t>spring 2020</w:t>
      </w:r>
      <w:r>
        <w:rPr>
          <w:rFonts w:ascii="Times New Roman" w:eastAsia="Times New Roman" w:hAnsi="Times New Roman" w:cs="Times New Roman"/>
          <w:bCs/>
          <w:kern w:val="36"/>
        </w:rPr>
        <w:t xml:space="preserve">, summer 2020, </w:t>
      </w:r>
      <w:r w:rsidRPr="00AE1B29">
        <w:rPr>
          <w:rFonts w:ascii="Times New Roman" w:eastAsia="Times New Roman" w:hAnsi="Times New Roman" w:cs="Times New Roman"/>
          <w:bCs/>
          <w:kern w:val="36"/>
        </w:rPr>
        <w:t>and fall 2020. Following the posting of final grades, students</w:t>
      </w:r>
      <w:r w:rsidRPr="00AE1B29">
        <w:rPr>
          <w:rFonts w:ascii="Times New Roman" w:eastAsia="Times New Roman" w:hAnsi="Times New Roman" w:cs="Times New Roman"/>
        </w:rPr>
        <w:t xml:space="preserve"> may petition the University for a retroactive administrative withdrawal from specific courses </w:t>
      </w:r>
      <w:r w:rsidR="004062D2">
        <w:rPr>
          <w:rFonts w:ascii="Times New Roman" w:eastAsia="Times New Roman" w:hAnsi="Times New Roman" w:cs="Times New Roman"/>
          <w:color w:val="C00000"/>
        </w:rPr>
        <w:t xml:space="preserve">in which they earned a grade of F </w:t>
      </w:r>
      <w:r w:rsidRPr="00AE1B29">
        <w:rPr>
          <w:rFonts w:ascii="Times New Roman" w:eastAsia="Times New Roman" w:hAnsi="Times New Roman" w:cs="Times New Roman"/>
        </w:rPr>
        <w:t xml:space="preserve">for substantiated nonacademic reasons </w:t>
      </w:r>
      <w:r>
        <w:rPr>
          <w:rFonts w:ascii="Times New Roman" w:eastAsia="Times New Roman" w:hAnsi="Times New Roman" w:cs="Times New Roman"/>
        </w:rPr>
        <w:t>following the procedures outlined in the Academic Catalog. The petition must specify the courses for which the student is seeking a retroactive grade of W</w:t>
      </w:r>
      <w:r w:rsidR="00467E19">
        <w:rPr>
          <w:rFonts w:ascii="Times New Roman" w:eastAsia="Times New Roman" w:hAnsi="Times New Roman" w:cs="Times New Roman"/>
        </w:rPr>
        <w:t>,</w:t>
      </w:r>
      <w:r>
        <w:rPr>
          <w:rFonts w:ascii="Times New Roman" w:eastAsia="Times New Roman" w:hAnsi="Times New Roman" w:cs="Times New Roman"/>
        </w:rPr>
        <w:t xml:space="preserve"> and provide a detailed COVID-19 related rationale</w:t>
      </w:r>
      <w:r w:rsidR="004062D2">
        <w:rPr>
          <w:rFonts w:ascii="Times New Roman" w:eastAsia="Times New Roman" w:hAnsi="Times New Roman" w:cs="Times New Roman"/>
        </w:rPr>
        <w:t xml:space="preserve"> </w:t>
      </w:r>
      <w:r w:rsidR="004062D2" w:rsidRPr="004062D2">
        <w:rPr>
          <w:rFonts w:ascii="Times New Roman" w:eastAsia="Times New Roman" w:hAnsi="Times New Roman" w:cs="Times New Roman"/>
          <w:color w:val="FF0000"/>
        </w:rPr>
        <w:t>and appropriate documentation</w:t>
      </w:r>
      <w:r>
        <w:rPr>
          <w:rFonts w:ascii="Times New Roman" w:eastAsia="Times New Roman" w:hAnsi="Times New Roman" w:cs="Times New Roman"/>
        </w:rPr>
        <w:t>. In contrast to the Administrative Withdrawal policy</w:t>
      </w:r>
      <w:r w:rsidR="00CC4574">
        <w:rPr>
          <w:rFonts w:ascii="Times New Roman" w:eastAsia="Times New Roman" w:hAnsi="Times New Roman" w:cs="Times New Roman"/>
        </w:rPr>
        <w:t>,</w:t>
      </w:r>
      <w:r>
        <w:rPr>
          <w:rFonts w:ascii="Times New Roman" w:eastAsia="Times New Roman" w:hAnsi="Times New Roman" w:cs="Times New Roman"/>
        </w:rPr>
        <w:t xml:space="preserve"> which specifies that students have until the last day of classes in the subsequent semester to submit this petition, </w:t>
      </w:r>
      <w:r w:rsidRPr="000E35A1">
        <w:rPr>
          <w:rFonts w:ascii="Times New Roman" w:eastAsia="Times New Roman" w:hAnsi="Times New Roman" w:cs="Times New Roman"/>
          <w:i/>
        </w:rPr>
        <w:t xml:space="preserve">individual course withdrawals provided for in this emergency exception to university policy must be submitted </w:t>
      </w:r>
      <w:r>
        <w:rPr>
          <w:rFonts w:ascii="Times New Roman" w:eastAsia="Times New Roman" w:hAnsi="Times New Roman" w:cs="Times New Roman"/>
          <w:i/>
        </w:rPr>
        <w:t>no later than 3 weeks after grades post</w:t>
      </w:r>
      <w:r w:rsidRPr="000E35A1">
        <w:rPr>
          <w:rFonts w:ascii="Times New Roman" w:eastAsia="Times New Roman" w:hAnsi="Times New Roman" w:cs="Times New Roman"/>
          <w:i/>
        </w:rPr>
        <w:t>.</w:t>
      </w:r>
    </w:p>
    <w:p w14:paraId="7D8EA667" w14:textId="78248FE6" w:rsidR="00A70C56" w:rsidRDefault="00A70C56"/>
    <w:p w14:paraId="2DB164C4" w14:textId="09737093" w:rsidR="00CE439B" w:rsidRDefault="00CE439B"/>
    <w:p w14:paraId="33052144" w14:textId="1D80835C" w:rsidR="00CE439B" w:rsidRDefault="00CE439B" w:rsidP="00CE439B">
      <w:pPr>
        <w:shd w:val="clear" w:color="auto" w:fill="FFFFFF"/>
        <w:textAlignment w:val="baseline"/>
        <w:rPr>
          <w:rFonts w:ascii="Arial" w:eastAsia="Calibri" w:hAnsi="Arial" w:cs="Arial"/>
        </w:rPr>
      </w:pPr>
    </w:p>
    <w:p w14:paraId="663C2E6C" w14:textId="2DCDC272" w:rsidR="00CE439B" w:rsidRDefault="00CE439B" w:rsidP="00CE439B">
      <w:pPr>
        <w:shd w:val="clear" w:color="auto" w:fill="FFFFFF"/>
        <w:textAlignment w:val="baseline"/>
        <w:rPr>
          <w:rFonts w:ascii="Arial" w:eastAsia="Calibri" w:hAnsi="Arial" w:cs="Arial"/>
        </w:rPr>
      </w:pPr>
    </w:p>
    <w:p w14:paraId="49A967C1" w14:textId="02FE36E0" w:rsidR="00CE439B" w:rsidRDefault="00CE439B" w:rsidP="00CE439B">
      <w:pPr>
        <w:shd w:val="clear" w:color="auto" w:fill="FFFFFF"/>
        <w:textAlignment w:val="baseline"/>
        <w:rPr>
          <w:rFonts w:ascii="Arial" w:eastAsia="Calibri" w:hAnsi="Arial" w:cs="Arial"/>
        </w:rPr>
      </w:pPr>
    </w:p>
    <w:p w14:paraId="6D8BE818" w14:textId="2B53CDD1" w:rsidR="00CE439B" w:rsidRDefault="00CE439B" w:rsidP="00CE439B">
      <w:pPr>
        <w:shd w:val="clear" w:color="auto" w:fill="FFFFFF"/>
        <w:textAlignment w:val="baseline"/>
        <w:rPr>
          <w:rFonts w:ascii="Arial" w:eastAsia="Calibri" w:hAnsi="Arial" w:cs="Arial"/>
        </w:rPr>
      </w:pPr>
    </w:p>
    <w:p w14:paraId="490BA776" w14:textId="5F244038" w:rsidR="00CE439B" w:rsidRDefault="00CE439B" w:rsidP="00CE439B">
      <w:pPr>
        <w:shd w:val="clear" w:color="auto" w:fill="FFFFFF"/>
        <w:textAlignment w:val="baseline"/>
        <w:rPr>
          <w:rFonts w:ascii="Arial" w:eastAsia="Calibri" w:hAnsi="Arial" w:cs="Arial"/>
        </w:rPr>
      </w:pPr>
    </w:p>
    <w:p w14:paraId="0CC082D5" w14:textId="5067DABA" w:rsidR="00CE439B" w:rsidRDefault="00CE439B" w:rsidP="00CE439B">
      <w:pPr>
        <w:shd w:val="clear" w:color="auto" w:fill="FFFFFF"/>
        <w:textAlignment w:val="baseline"/>
        <w:rPr>
          <w:rFonts w:ascii="Arial" w:eastAsia="Calibri" w:hAnsi="Arial" w:cs="Arial"/>
        </w:rPr>
      </w:pPr>
    </w:p>
    <w:p w14:paraId="3B3EF7FF" w14:textId="79BCD716" w:rsidR="00CE439B" w:rsidRDefault="00CE439B" w:rsidP="00CE439B">
      <w:pPr>
        <w:shd w:val="clear" w:color="auto" w:fill="FFFFFF"/>
        <w:textAlignment w:val="baseline"/>
        <w:rPr>
          <w:rFonts w:ascii="Arial" w:eastAsia="Calibri" w:hAnsi="Arial" w:cs="Arial"/>
        </w:rPr>
      </w:pPr>
    </w:p>
    <w:p w14:paraId="5C9464F2" w14:textId="43F17ECA" w:rsidR="00CE439B" w:rsidRDefault="00CE439B" w:rsidP="00CE439B">
      <w:pPr>
        <w:shd w:val="clear" w:color="auto" w:fill="FFFFFF"/>
        <w:textAlignment w:val="baseline"/>
        <w:rPr>
          <w:rFonts w:ascii="Arial" w:eastAsia="Calibri" w:hAnsi="Arial" w:cs="Arial"/>
        </w:rPr>
      </w:pPr>
    </w:p>
    <w:p w14:paraId="2299F449" w14:textId="073D5363" w:rsidR="00CE439B" w:rsidRDefault="00CE439B" w:rsidP="00CE439B">
      <w:pPr>
        <w:shd w:val="clear" w:color="auto" w:fill="FFFFFF"/>
        <w:textAlignment w:val="baseline"/>
        <w:rPr>
          <w:rFonts w:ascii="Arial" w:eastAsia="Calibri" w:hAnsi="Arial" w:cs="Arial"/>
        </w:rPr>
      </w:pPr>
    </w:p>
    <w:p w14:paraId="56B4BFA6" w14:textId="6F293678" w:rsidR="00CE439B" w:rsidRDefault="00CE439B" w:rsidP="00CE439B">
      <w:pPr>
        <w:shd w:val="clear" w:color="auto" w:fill="FFFFFF"/>
        <w:textAlignment w:val="baseline"/>
        <w:rPr>
          <w:rFonts w:ascii="Arial" w:eastAsia="Calibri" w:hAnsi="Arial" w:cs="Arial"/>
        </w:rPr>
      </w:pPr>
    </w:p>
    <w:p w14:paraId="1B1B7A67" w14:textId="08338EF9" w:rsidR="00CE439B" w:rsidRDefault="00CE439B" w:rsidP="00CE439B">
      <w:pPr>
        <w:shd w:val="clear" w:color="auto" w:fill="FFFFFF"/>
        <w:textAlignment w:val="baseline"/>
        <w:rPr>
          <w:rFonts w:ascii="Arial" w:eastAsia="Calibri" w:hAnsi="Arial" w:cs="Arial"/>
        </w:rPr>
      </w:pPr>
    </w:p>
    <w:p w14:paraId="3D0099DC" w14:textId="5B1B57A0" w:rsidR="00CE439B" w:rsidRDefault="00CE439B" w:rsidP="00CE439B">
      <w:pPr>
        <w:shd w:val="clear" w:color="auto" w:fill="FFFFFF"/>
        <w:textAlignment w:val="baseline"/>
        <w:rPr>
          <w:rFonts w:ascii="Arial" w:eastAsia="Calibri" w:hAnsi="Arial" w:cs="Arial"/>
        </w:rPr>
      </w:pPr>
    </w:p>
    <w:p w14:paraId="42FD72A3" w14:textId="1023A512" w:rsidR="00CE439B" w:rsidRDefault="00CE439B" w:rsidP="00CE439B">
      <w:pPr>
        <w:shd w:val="clear" w:color="auto" w:fill="FFFFFF"/>
        <w:textAlignment w:val="baseline"/>
        <w:rPr>
          <w:rFonts w:ascii="Arial" w:eastAsia="Calibri" w:hAnsi="Arial" w:cs="Arial"/>
        </w:rPr>
      </w:pPr>
    </w:p>
    <w:p w14:paraId="42804C73" w14:textId="4F01B85C" w:rsidR="00CE439B" w:rsidRDefault="00CE439B" w:rsidP="00CE439B">
      <w:pPr>
        <w:shd w:val="clear" w:color="auto" w:fill="FFFFFF"/>
        <w:textAlignment w:val="baseline"/>
        <w:rPr>
          <w:rFonts w:ascii="Arial" w:eastAsia="Calibri" w:hAnsi="Arial" w:cs="Arial"/>
        </w:rPr>
      </w:pPr>
    </w:p>
    <w:p w14:paraId="100A806F" w14:textId="7DEDE216" w:rsidR="00CE439B" w:rsidRDefault="00CE439B" w:rsidP="00CE439B">
      <w:pPr>
        <w:shd w:val="clear" w:color="auto" w:fill="FFFFFF"/>
        <w:textAlignment w:val="baseline"/>
        <w:rPr>
          <w:rFonts w:ascii="Arial" w:eastAsia="Calibri" w:hAnsi="Arial" w:cs="Arial"/>
        </w:rPr>
      </w:pPr>
    </w:p>
    <w:p w14:paraId="2A0755F0" w14:textId="76789A0C" w:rsidR="00CE439B" w:rsidRDefault="00CE439B" w:rsidP="00CE439B">
      <w:pPr>
        <w:shd w:val="clear" w:color="auto" w:fill="FFFFFF"/>
        <w:textAlignment w:val="baseline"/>
        <w:rPr>
          <w:rFonts w:ascii="Arial" w:eastAsia="Calibri" w:hAnsi="Arial" w:cs="Arial"/>
        </w:rPr>
      </w:pPr>
    </w:p>
    <w:p w14:paraId="0BBAB19A" w14:textId="143C2283" w:rsidR="00CE439B" w:rsidRDefault="00CE439B" w:rsidP="00CE439B">
      <w:pPr>
        <w:shd w:val="clear" w:color="auto" w:fill="FFFFFF"/>
        <w:textAlignment w:val="baseline"/>
        <w:rPr>
          <w:rFonts w:ascii="Arial" w:eastAsia="Calibri" w:hAnsi="Arial" w:cs="Arial"/>
        </w:rPr>
      </w:pPr>
    </w:p>
    <w:p w14:paraId="6204AC97" w14:textId="685E151D" w:rsidR="00CE439B" w:rsidRDefault="00CE439B" w:rsidP="00CE439B">
      <w:pPr>
        <w:shd w:val="clear" w:color="auto" w:fill="FFFFFF"/>
        <w:textAlignment w:val="baseline"/>
        <w:rPr>
          <w:rFonts w:ascii="Arial" w:eastAsia="Calibri" w:hAnsi="Arial" w:cs="Arial"/>
        </w:rPr>
      </w:pPr>
    </w:p>
    <w:p w14:paraId="7C5CE7D4" w14:textId="1336983E" w:rsidR="00CE439B" w:rsidRDefault="00CE439B" w:rsidP="00CE439B">
      <w:pPr>
        <w:shd w:val="clear" w:color="auto" w:fill="FFFFFF"/>
        <w:textAlignment w:val="baseline"/>
        <w:rPr>
          <w:rFonts w:ascii="Arial" w:eastAsia="Calibri" w:hAnsi="Arial" w:cs="Arial"/>
        </w:rPr>
      </w:pPr>
    </w:p>
    <w:p w14:paraId="307B4F7A" w14:textId="05A4C3B4" w:rsidR="00CE439B" w:rsidRDefault="00CE439B" w:rsidP="00CE439B">
      <w:pPr>
        <w:shd w:val="clear" w:color="auto" w:fill="FFFFFF"/>
        <w:textAlignment w:val="baseline"/>
        <w:rPr>
          <w:rFonts w:ascii="Arial" w:eastAsia="Calibri" w:hAnsi="Arial" w:cs="Arial"/>
        </w:rPr>
      </w:pPr>
    </w:p>
    <w:p w14:paraId="1CF495B4" w14:textId="6E1FCE8A" w:rsidR="00CE439B" w:rsidRDefault="00CE439B" w:rsidP="00CE439B">
      <w:pPr>
        <w:shd w:val="clear" w:color="auto" w:fill="FFFFFF"/>
        <w:textAlignment w:val="baseline"/>
        <w:rPr>
          <w:rFonts w:ascii="Arial" w:eastAsia="Calibri" w:hAnsi="Arial" w:cs="Arial"/>
        </w:rPr>
      </w:pPr>
    </w:p>
    <w:p w14:paraId="55436E28" w14:textId="16E5CF46" w:rsidR="00CE439B" w:rsidRDefault="00CE439B" w:rsidP="00CE439B">
      <w:pPr>
        <w:shd w:val="clear" w:color="auto" w:fill="FFFFFF"/>
        <w:textAlignment w:val="baseline"/>
        <w:rPr>
          <w:rFonts w:ascii="Arial" w:eastAsia="Calibri" w:hAnsi="Arial" w:cs="Arial"/>
        </w:rPr>
      </w:pPr>
    </w:p>
    <w:p w14:paraId="094D62A3" w14:textId="78CDAF26" w:rsidR="00CE439B" w:rsidRDefault="00CE439B" w:rsidP="00CE439B">
      <w:pPr>
        <w:shd w:val="clear" w:color="auto" w:fill="FFFFFF"/>
        <w:textAlignment w:val="baseline"/>
        <w:rPr>
          <w:rFonts w:ascii="Arial" w:eastAsia="Calibri" w:hAnsi="Arial" w:cs="Arial"/>
        </w:rPr>
      </w:pPr>
    </w:p>
    <w:p w14:paraId="05C53DE5" w14:textId="7AE41BAE" w:rsidR="00CE439B" w:rsidRDefault="00CE439B" w:rsidP="00CE439B">
      <w:pPr>
        <w:shd w:val="clear" w:color="auto" w:fill="FFFFFF"/>
        <w:textAlignment w:val="baseline"/>
        <w:rPr>
          <w:rFonts w:ascii="Arial" w:eastAsia="Calibri" w:hAnsi="Arial" w:cs="Arial"/>
        </w:rPr>
      </w:pPr>
    </w:p>
    <w:p w14:paraId="1C06E9D5" w14:textId="50456187" w:rsidR="00CE439B" w:rsidRDefault="00CE439B" w:rsidP="00CE439B">
      <w:pPr>
        <w:shd w:val="clear" w:color="auto" w:fill="FFFFFF"/>
        <w:textAlignment w:val="baseline"/>
        <w:rPr>
          <w:rFonts w:ascii="Arial" w:eastAsia="Calibri" w:hAnsi="Arial" w:cs="Arial"/>
        </w:rPr>
      </w:pPr>
    </w:p>
    <w:p w14:paraId="10BB4705" w14:textId="7BA04F86" w:rsidR="00CE439B" w:rsidRDefault="00CE439B" w:rsidP="00CE439B">
      <w:pPr>
        <w:shd w:val="clear" w:color="auto" w:fill="FFFFFF"/>
        <w:textAlignment w:val="baseline"/>
        <w:rPr>
          <w:rFonts w:ascii="Arial" w:eastAsia="Calibri" w:hAnsi="Arial" w:cs="Arial"/>
        </w:rPr>
      </w:pPr>
    </w:p>
    <w:p w14:paraId="5017B72C" w14:textId="38DAF79D" w:rsidR="00CE439B" w:rsidRDefault="00CE439B" w:rsidP="00CE439B">
      <w:pPr>
        <w:shd w:val="clear" w:color="auto" w:fill="FFFFFF"/>
        <w:textAlignment w:val="baseline"/>
        <w:rPr>
          <w:rFonts w:ascii="Arial" w:eastAsia="Calibri" w:hAnsi="Arial" w:cs="Arial"/>
        </w:rPr>
      </w:pPr>
    </w:p>
    <w:p w14:paraId="66DA09B7" w14:textId="77777777" w:rsidR="00CE439B" w:rsidRPr="00CE439B" w:rsidRDefault="00CE439B" w:rsidP="00CE439B">
      <w:pPr>
        <w:shd w:val="clear" w:color="auto" w:fill="FFFFFF"/>
        <w:jc w:val="center"/>
        <w:textAlignment w:val="baseline"/>
        <w:rPr>
          <w:rFonts w:ascii="Arial" w:eastAsia="Calibri" w:hAnsi="Arial" w:cs="Arial"/>
          <w:b/>
        </w:rPr>
      </w:pPr>
      <w:bookmarkStart w:id="0" w:name="_GoBack"/>
      <w:bookmarkEnd w:id="0"/>
      <w:r w:rsidRPr="00CE439B">
        <w:rPr>
          <w:rFonts w:ascii="Arial" w:eastAsia="Calibri" w:hAnsi="Arial" w:cs="Arial"/>
          <w:b/>
        </w:rPr>
        <w:lastRenderedPageBreak/>
        <w:t>College of Education – Catalog Changes – 2021-2022</w:t>
      </w:r>
    </w:p>
    <w:p w14:paraId="55B38D6B" w14:textId="77777777" w:rsidR="00CE439B" w:rsidRPr="00CE439B" w:rsidRDefault="00CE439B" w:rsidP="00CE439B">
      <w:pPr>
        <w:shd w:val="clear" w:color="auto" w:fill="FFFFFF"/>
        <w:textAlignment w:val="baseline"/>
        <w:rPr>
          <w:rFonts w:ascii="Arial" w:eastAsia="Calibri" w:hAnsi="Arial" w:cs="Arial"/>
        </w:rPr>
      </w:pPr>
    </w:p>
    <w:p w14:paraId="644516D6" w14:textId="77777777" w:rsidR="00CE439B" w:rsidRPr="00CE439B" w:rsidRDefault="00CE439B" w:rsidP="00CE439B">
      <w:pPr>
        <w:shd w:val="clear" w:color="auto" w:fill="FFFFFF"/>
        <w:textAlignment w:val="baseline"/>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439B" w:rsidRPr="00CE439B" w14:paraId="36F0A875" w14:textId="77777777" w:rsidTr="00A577BD">
        <w:tc>
          <w:tcPr>
            <w:tcW w:w="9350" w:type="dxa"/>
            <w:shd w:val="clear" w:color="auto" w:fill="auto"/>
          </w:tcPr>
          <w:p w14:paraId="498A0F32" w14:textId="77777777" w:rsidR="00CE439B" w:rsidRPr="00CE439B" w:rsidRDefault="00CE439B" w:rsidP="00CE439B">
            <w:pPr>
              <w:rPr>
                <w:rFonts w:ascii="Arial" w:eastAsia="Calibri" w:hAnsi="Arial" w:cs="Arial"/>
                <w:b/>
                <w:sz w:val="22"/>
                <w:szCs w:val="22"/>
              </w:rPr>
            </w:pPr>
            <w:r w:rsidRPr="00CE439B">
              <w:rPr>
                <w:rFonts w:ascii="Arial" w:eastAsia="Calibri" w:hAnsi="Arial" w:cs="Arial"/>
                <w:b/>
                <w:sz w:val="22"/>
                <w:szCs w:val="22"/>
              </w:rPr>
              <w:t xml:space="preserve">Current Catalog Copy 2020-2021 </w:t>
            </w:r>
          </w:p>
          <w:p w14:paraId="5075C9E1" w14:textId="77777777" w:rsidR="00CE439B" w:rsidRPr="00CE439B" w:rsidRDefault="00CE439B" w:rsidP="00CE439B">
            <w:pPr>
              <w:rPr>
                <w:rFonts w:ascii="Arial" w:eastAsia="Calibri" w:hAnsi="Arial" w:cs="Arial"/>
                <w:b/>
                <w:sz w:val="22"/>
                <w:szCs w:val="22"/>
              </w:rPr>
            </w:pPr>
            <w:r w:rsidRPr="00CE439B">
              <w:rPr>
                <w:rFonts w:ascii="Arial" w:eastAsia="Calibri" w:hAnsi="Arial" w:cs="Arial"/>
                <w:b/>
                <w:sz w:val="22"/>
                <w:szCs w:val="22"/>
              </w:rPr>
              <w:t>Undergraduate Catalog</w:t>
            </w:r>
          </w:p>
          <w:p w14:paraId="51CE98F9" w14:textId="77777777" w:rsidR="00CE439B" w:rsidRPr="00CE439B" w:rsidRDefault="00CE439B" w:rsidP="00CE439B">
            <w:pPr>
              <w:rPr>
                <w:rFonts w:ascii="Arial" w:eastAsia="Calibri" w:hAnsi="Arial" w:cs="Arial"/>
                <w:b/>
                <w:sz w:val="22"/>
                <w:szCs w:val="22"/>
              </w:rPr>
            </w:pPr>
            <w:r w:rsidRPr="00CE439B">
              <w:rPr>
                <w:rFonts w:ascii="Arial" w:eastAsia="Calibri" w:hAnsi="Arial" w:cs="Arial"/>
                <w:b/>
                <w:sz w:val="22"/>
                <w:szCs w:val="22"/>
              </w:rPr>
              <w:t xml:space="preserve">Admission </w:t>
            </w:r>
          </w:p>
          <w:p w14:paraId="7DCF794C" w14:textId="77777777" w:rsidR="00CE439B" w:rsidRPr="00CE439B" w:rsidRDefault="00CE439B" w:rsidP="00CE439B">
            <w:pPr>
              <w:rPr>
                <w:rFonts w:ascii="Arial" w:eastAsia="Calibri" w:hAnsi="Arial" w:cs="Arial"/>
                <w:b/>
                <w:sz w:val="22"/>
                <w:szCs w:val="22"/>
              </w:rPr>
            </w:pPr>
            <w:hyperlink r:id="rId5" w:history="1">
              <w:r w:rsidRPr="00CE439B">
                <w:rPr>
                  <w:rFonts w:ascii="Calibri" w:eastAsia="Calibri" w:hAnsi="Calibri" w:cs="Arial"/>
                  <w:color w:val="0000FF"/>
                  <w:sz w:val="22"/>
                  <w:u w:val="single"/>
                </w:rPr>
                <w:t>https://catalog.umw.edu/undergraduate/college-education/#admissiontext</w:t>
              </w:r>
            </w:hyperlink>
          </w:p>
          <w:p w14:paraId="1B6D4795" w14:textId="77777777" w:rsidR="00CE439B" w:rsidRPr="00CE439B" w:rsidRDefault="00CE439B" w:rsidP="00CE439B">
            <w:pPr>
              <w:spacing w:before="100" w:beforeAutospacing="1" w:after="100" w:afterAutospacing="1"/>
              <w:rPr>
                <w:rFonts w:ascii="Arial" w:eastAsia="Calibri" w:hAnsi="Arial" w:cs="Arial"/>
                <w:sz w:val="22"/>
                <w:szCs w:val="22"/>
              </w:rPr>
            </w:pPr>
            <w:r w:rsidRPr="00CE439B">
              <w:rPr>
                <w:rFonts w:ascii="Arial" w:eastAsia="Calibri" w:hAnsi="Arial" w:cs="Arial"/>
                <w:sz w:val="22"/>
                <w:szCs w:val="22"/>
              </w:rPr>
              <w:t>For permission to take the first education courses in Phase I of the program</w:t>
            </w:r>
            <w:r w:rsidRPr="00CE439B">
              <w:rPr>
                <w:rFonts w:ascii="Arial" w:eastAsia="Calibri" w:hAnsi="Arial" w:cs="Arial"/>
                <w:sz w:val="22"/>
                <w:szCs w:val="22"/>
                <w:u w:val="single"/>
              </w:rPr>
              <w:t>,</w:t>
            </w:r>
            <w:r w:rsidRPr="00CE439B">
              <w:rPr>
                <w:rFonts w:ascii="Arial" w:eastAsia="Calibri" w:hAnsi="Arial" w:cs="Arial"/>
                <w:sz w:val="22"/>
                <w:szCs w:val="22"/>
              </w:rPr>
              <w:t> </w:t>
            </w:r>
            <w:hyperlink r:id="rId6" w:tooltip="EDUC 206" w:history="1">
              <w:r w:rsidRPr="00CE439B">
                <w:rPr>
                  <w:rFonts w:ascii="Arial" w:eastAsia="Calibri" w:hAnsi="Arial" w:cs="Arial"/>
                  <w:color w:val="0000FF"/>
                  <w:sz w:val="22"/>
                  <w:szCs w:val="22"/>
                  <w:u w:val="single"/>
                </w:rPr>
                <w:t>EDUC 206</w:t>
              </w:r>
            </w:hyperlink>
            <w:r w:rsidRPr="00CE439B">
              <w:rPr>
                <w:rFonts w:ascii="Arial" w:eastAsia="Calibri" w:hAnsi="Arial" w:cs="Arial"/>
                <w:sz w:val="22"/>
                <w:szCs w:val="22"/>
              </w:rPr>
              <w:t xml:space="preserve"> Foundations of Education and </w:t>
            </w:r>
            <w:hyperlink r:id="rId7" w:tooltip="EDUC 207" w:history="1">
              <w:r w:rsidRPr="00CE439B">
                <w:rPr>
                  <w:rFonts w:ascii="Arial" w:eastAsia="Calibri" w:hAnsi="Arial" w:cs="Arial"/>
                  <w:color w:val="0000FF"/>
                  <w:sz w:val="22"/>
                  <w:szCs w:val="22"/>
                  <w:u w:val="single"/>
                </w:rPr>
                <w:t>EDUC 207</w:t>
              </w:r>
            </w:hyperlink>
            <w:r w:rsidRPr="00CE439B">
              <w:rPr>
                <w:rFonts w:ascii="Arial" w:eastAsia="Calibri" w:hAnsi="Arial" w:cs="Arial"/>
                <w:sz w:val="22"/>
                <w:szCs w:val="22"/>
              </w:rPr>
              <w:t xml:space="preserve"> Development of the Learner and Instructional Practices, students must have attained a 2.5 GPA or better on at least 12 UMW credits. Transfer students must have a 3.25 GPA to be able to take EDUC 206 and EDUC 207.</w:t>
            </w:r>
          </w:p>
          <w:p w14:paraId="4A5FD30E" w14:textId="77777777" w:rsidR="00CE439B" w:rsidRPr="00CE439B" w:rsidRDefault="00CE439B" w:rsidP="00CE439B">
            <w:pPr>
              <w:spacing w:before="100" w:beforeAutospacing="1" w:after="100" w:afterAutospacing="1"/>
              <w:rPr>
                <w:rFonts w:ascii="Arial" w:eastAsia="Calibri" w:hAnsi="Arial" w:cs="Arial"/>
                <w:sz w:val="22"/>
                <w:szCs w:val="22"/>
              </w:rPr>
            </w:pPr>
            <w:r w:rsidRPr="00CE439B">
              <w:rPr>
                <w:rFonts w:ascii="Arial" w:eastAsia="Calibri" w:hAnsi="Arial" w:cs="Arial"/>
                <w:sz w:val="22"/>
                <w:szCs w:val="22"/>
              </w:rPr>
              <w:t>To be fully admitted to the COE, students apply during Phase I of the program. Students must have earned a B or better in EDUC 206 and EDUC 207 and have passing scores for:</w:t>
            </w:r>
          </w:p>
          <w:p w14:paraId="59309534" w14:textId="77777777" w:rsidR="00CE439B" w:rsidRPr="00CE439B" w:rsidRDefault="00CE439B" w:rsidP="00CE439B">
            <w:pPr>
              <w:numPr>
                <w:ilvl w:val="0"/>
                <w:numId w:val="2"/>
              </w:numPr>
              <w:spacing w:before="100" w:beforeAutospacing="1" w:after="100" w:afterAutospacing="1"/>
              <w:rPr>
                <w:rFonts w:ascii="Arial" w:eastAsia="Calibri" w:hAnsi="Arial" w:cs="Arial"/>
                <w:sz w:val="22"/>
                <w:szCs w:val="22"/>
              </w:rPr>
            </w:pPr>
            <w:r w:rsidRPr="00CE439B">
              <w:rPr>
                <w:rFonts w:ascii="Arial" w:eastAsia="Calibri" w:hAnsi="Arial" w:cs="Arial"/>
                <w:sz w:val="22"/>
                <w:szCs w:val="22"/>
              </w:rPr>
              <w:t>the Praxis Core, or</w:t>
            </w:r>
          </w:p>
          <w:p w14:paraId="37D8D2EB" w14:textId="77777777" w:rsidR="00CE439B" w:rsidRPr="00CE439B" w:rsidRDefault="00CE439B" w:rsidP="00CE439B">
            <w:pPr>
              <w:numPr>
                <w:ilvl w:val="0"/>
                <w:numId w:val="2"/>
              </w:numPr>
              <w:spacing w:before="100" w:beforeAutospacing="1" w:after="100" w:afterAutospacing="1"/>
              <w:rPr>
                <w:rFonts w:ascii="Arial" w:eastAsia="Calibri" w:hAnsi="Arial" w:cs="Arial"/>
                <w:sz w:val="22"/>
                <w:szCs w:val="22"/>
              </w:rPr>
            </w:pPr>
            <w:r w:rsidRPr="00CE439B">
              <w:rPr>
                <w:rFonts w:ascii="Arial" w:eastAsia="Calibri" w:hAnsi="Arial" w:cs="Arial"/>
                <w:sz w:val="22"/>
                <w:szCs w:val="22"/>
              </w:rPr>
              <w:t>passing scores for the SAT or ACT Reading and Writing, plus a passing score on the Math Praxis Core, SAT, or ACT.</w:t>
            </w:r>
          </w:p>
          <w:p w14:paraId="142051D9" w14:textId="77777777" w:rsidR="00CE439B" w:rsidRPr="00CE439B" w:rsidRDefault="00CE439B" w:rsidP="00CE439B">
            <w:pPr>
              <w:numPr>
                <w:ilvl w:val="0"/>
                <w:numId w:val="2"/>
              </w:numPr>
              <w:spacing w:before="100" w:beforeAutospacing="1" w:after="100" w:afterAutospacing="1"/>
              <w:rPr>
                <w:rFonts w:ascii="Arial" w:eastAsia="Calibri" w:hAnsi="Arial" w:cs="Arial"/>
              </w:rPr>
            </w:pPr>
            <w:r w:rsidRPr="00CE439B">
              <w:rPr>
                <w:rFonts w:ascii="Arial" w:eastAsia="Calibri" w:hAnsi="Arial" w:cs="Arial"/>
                <w:sz w:val="22"/>
                <w:szCs w:val="22"/>
              </w:rPr>
              <w:t>Passing scores for the Praxis Core Math, SAT or ACT Math plus a passing score on the VCLA.</w:t>
            </w:r>
          </w:p>
        </w:tc>
      </w:tr>
    </w:tbl>
    <w:p w14:paraId="497B53F0" w14:textId="77777777" w:rsidR="00CE439B" w:rsidRPr="00CE439B" w:rsidRDefault="00CE439B" w:rsidP="00CE439B">
      <w:pPr>
        <w:shd w:val="clear" w:color="auto" w:fill="FFFFFF"/>
        <w:textAlignment w:val="baseline"/>
        <w:rPr>
          <w:rFonts w:ascii="Arial" w:eastAsia="Calibri" w:hAnsi="Arial" w:cs="Arial"/>
        </w:rPr>
      </w:pPr>
    </w:p>
    <w:p w14:paraId="1B500A50" w14:textId="77777777" w:rsidR="00CE439B" w:rsidRPr="00CE439B" w:rsidRDefault="00CE439B" w:rsidP="00CE439B">
      <w:pPr>
        <w:shd w:val="clear" w:color="auto" w:fill="FFFFFF"/>
        <w:textAlignment w:val="baseline"/>
        <w:rPr>
          <w:rFonts w:ascii="Arial" w:eastAsia="Calibri" w:hAnsi="Arial" w:cs="Arial"/>
        </w:rPr>
      </w:pPr>
    </w:p>
    <w:p w14:paraId="68A856A8" w14:textId="77777777" w:rsidR="00CE439B" w:rsidRPr="00CE439B" w:rsidRDefault="00CE439B" w:rsidP="00CE439B">
      <w:pPr>
        <w:rPr>
          <w:rFonts w:ascii="Arial" w:eastAsia="Calibri" w:hAnsi="Arial" w:cs="Arial"/>
          <w:b/>
        </w:rPr>
      </w:pPr>
      <w:r w:rsidRPr="00CE439B">
        <w:rPr>
          <w:rFonts w:ascii="Arial" w:eastAsia="Calibri" w:hAnsi="Arial" w:cs="Arial"/>
          <w:b/>
          <w:highlight w:val="green"/>
        </w:rPr>
        <w:t>Revised Catalog Copy 2020-2021</w:t>
      </w:r>
      <w:r w:rsidRPr="00CE439B">
        <w:rPr>
          <w:rFonts w:ascii="Arial" w:eastAsia="Calibri" w:hAnsi="Arial" w:cs="Arial"/>
          <w:b/>
        </w:rPr>
        <w:t xml:space="preserve"> </w:t>
      </w:r>
    </w:p>
    <w:p w14:paraId="1D1162B2" w14:textId="77777777" w:rsidR="00CE439B" w:rsidRPr="00CE439B" w:rsidRDefault="00CE439B" w:rsidP="00CE439B">
      <w:pPr>
        <w:rPr>
          <w:rFonts w:ascii="Arial" w:eastAsia="Calibri" w:hAnsi="Arial" w:cs="Arial"/>
          <w:b/>
        </w:rPr>
      </w:pPr>
      <w:r w:rsidRPr="00CE439B">
        <w:rPr>
          <w:rFonts w:ascii="Arial" w:eastAsia="Calibri" w:hAnsi="Arial" w:cs="Arial"/>
          <w:b/>
        </w:rPr>
        <w:t>Undergraduate Catalog</w:t>
      </w:r>
    </w:p>
    <w:p w14:paraId="3F03FD36" w14:textId="77777777" w:rsidR="00CE439B" w:rsidRPr="00CE439B" w:rsidRDefault="00CE439B" w:rsidP="00CE439B">
      <w:pPr>
        <w:rPr>
          <w:rFonts w:ascii="Arial" w:eastAsia="Calibri" w:hAnsi="Arial" w:cs="Arial"/>
          <w:b/>
        </w:rPr>
      </w:pPr>
      <w:r w:rsidRPr="00CE439B">
        <w:rPr>
          <w:rFonts w:ascii="Arial" w:eastAsia="Calibri" w:hAnsi="Arial" w:cs="Arial"/>
          <w:b/>
        </w:rPr>
        <w:t>College of Education</w:t>
      </w:r>
    </w:p>
    <w:p w14:paraId="1715E373" w14:textId="77777777" w:rsidR="00CE439B" w:rsidRPr="00CE439B" w:rsidRDefault="00CE439B" w:rsidP="00CE439B">
      <w:pPr>
        <w:rPr>
          <w:rFonts w:ascii="Arial" w:eastAsia="Calibri" w:hAnsi="Arial" w:cs="Arial"/>
          <w:b/>
        </w:rPr>
      </w:pPr>
      <w:r w:rsidRPr="00CE439B">
        <w:rPr>
          <w:rFonts w:ascii="Arial" w:eastAsia="Calibri" w:hAnsi="Arial" w:cs="Arial"/>
          <w:b/>
        </w:rPr>
        <w:t xml:space="preserve">Admission </w:t>
      </w:r>
    </w:p>
    <w:p w14:paraId="3DC37CA8" w14:textId="77777777" w:rsidR="00CE439B" w:rsidRPr="00CE439B" w:rsidRDefault="00CE439B" w:rsidP="00CE439B">
      <w:pPr>
        <w:shd w:val="clear" w:color="auto" w:fill="FFFFFF"/>
        <w:textAlignment w:val="baseline"/>
        <w:rPr>
          <w:rFonts w:ascii="Arial" w:eastAsia="Calibri" w:hAnsi="Arial" w:cs="Arial"/>
        </w:rPr>
      </w:pPr>
    </w:p>
    <w:p w14:paraId="0F92169F" w14:textId="77777777" w:rsidR="00CE439B" w:rsidRPr="00CE439B" w:rsidRDefault="00CE439B" w:rsidP="00CE439B">
      <w:pPr>
        <w:shd w:val="clear" w:color="auto" w:fill="FFFFFF"/>
        <w:textAlignment w:val="baseline"/>
        <w:rPr>
          <w:rFonts w:ascii="Times New Roman" w:eastAsia="Calibri" w:hAnsi="Times New Roman" w:cs="Times New Roman"/>
        </w:rPr>
      </w:pPr>
      <w:r w:rsidRPr="00CE439B">
        <w:rPr>
          <w:rFonts w:ascii="Arial" w:eastAsia="Calibri" w:hAnsi="Arial" w:cs="Arial"/>
        </w:rPr>
        <w:t>For permission to take the first education courses in Phase I of the program</w:t>
      </w:r>
      <w:r w:rsidRPr="00CE439B">
        <w:rPr>
          <w:rFonts w:ascii="Arial" w:eastAsia="Calibri" w:hAnsi="Arial" w:cs="Arial"/>
          <w:u w:val="single"/>
          <w:bdr w:val="none" w:sz="0" w:space="0" w:color="auto" w:frame="1"/>
        </w:rPr>
        <w:t>,</w:t>
      </w:r>
      <w:r w:rsidRPr="00CE439B">
        <w:rPr>
          <w:rFonts w:ascii="Arial" w:eastAsia="Calibri" w:hAnsi="Arial" w:cs="Arial"/>
        </w:rPr>
        <w:t> </w:t>
      </w:r>
      <w:hyperlink r:id="rId8" w:tgtFrame="_blank" w:tooltip="EDUC 206" w:history="1">
        <w:r w:rsidRPr="00CE439B">
          <w:rPr>
            <w:rFonts w:ascii="Arial" w:eastAsia="Calibri" w:hAnsi="Arial" w:cs="Arial"/>
            <w:b/>
            <w:bCs/>
            <w:u w:val="single"/>
            <w:bdr w:val="none" w:sz="0" w:space="0" w:color="auto" w:frame="1"/>
          </w:rPr>
          <w:t>EDUC 206</w:t>
        </w:r>
      </w:hyperlink>
      <w:r w:rsidRPr="00CE439B">
        <w:rPr>
          <w:rFonts w:ascii="Arial" w:eastAsia="Calibri" w:hAnsi="Arial" w:cs="Arial"/>
          <w:bdr w:val="none" w:sz="0" w:space="0" w:color="auto" w:frame="1"/>
        </w:rPr>
        <w:t> Foundations of Education</w:t>
      </w:r>
      <w:r w:rsidRPr="00CE439B">
        <w:rPr>
          <w:rFonts w:ascii="Arial" w:eastAsia="Calibri" w:hAnsi="Arial" w:cs="Arial"/>
        </w:rPr>
        <w:t> and </w:t>
      </w:r>
      <w:hyperlink r:id="rId9" w:tgtFrame="_blank" w:tooltip="EDUC 207" w:history="1">
        <w:r w:rsidRPr="00CE439B">
          <w:rPr>
            <w:rFonts w:ascii="Arial" w:eastAsia="Calibri" w:hAnsi="Arial" w:cs="Arial"/>
            <w:b/>
            <w:bCs/>
            <w:u w:val="single"/>
            <w:bdr w:val="none" w:sz="0" w:space="0" w:color="auto" w:frame="1"/>
          </w:rPr>
          <w:t>EDUC 207</w:t>
        </w:r>
      </w:hyperlink>
      <w:r w:rsidRPr="00CE439B">
        <w:rPr>
          <w:rFonts w:ascii="Arial" w:eastAsia="Calibri" w:hAnsi="Arial" w:cs="Arial"/>
          <w:bdr w:val="none" w:sz="0" w:space="0" w:color="auto" w:frame="1"/>
        </w:rPr>
        <w:t> Development of the Learner and Instructional Practices,</w:t>
      </w:r>
      <w:r w:rsidRPr="00CE439B">
        <w:rPr>
          <w:rFonts w:ascii="Arial" w:eastAsia="Calibri" w:hAnsi="Arial" w:cs="Arial"/>
        </w:rPr>
        <w:t xml:space="preserve"> students must complete the COE Phase I Questionnaire by March 1 to begin in the fall and by October 1 to begin in the spring.</w:t>
      </w:r>
    </w:p>
    <w:p w14:paraId="727A8037" w14:textId="77777777" w:rsidR="00CE439B" w:rsidRPr="00CE439B" w:rsidRDefault="00CE439B" w:rsidP="00CE439B">
      <w:pPr>
        <w:spacing w:before="100" w:beforeAutospacing="1" w:after="100" w:afterAutospacing="1"/>
        <w:rPr>
          <w:rFonts w:ascii="Calibri" w:eastAsia="Calibri" w:hAnsi="Calibri" w:cs="Calibri"/>
        </w:rPr>
      </w:pPr>
      <w:r w:rsidRPr="00CE439B">
        <w:rPr>
          <w:rFonts w:ascii="Arial" w:eastAsia="Calibri" w:hAnsi="Arial" w:cs="Arial"/>
        </w:rPr>
        <w:t>To be fully admitted to the COE, students apply during Phase I of the program. Students must have earned a B or better in EDUC 206 and EDUC 207 and have an overall 2.5 GPA in at least 12 credits of UMW course work OR an overall 3.0 for transfer students.  All students must have passing scores for:</w:t>
      </w:r>
    </w:p>
    <w:p w14:paraId="6095AF7F" w14:textId="77777777" w:rsidR="00CE439B" w:rsidRPr="00CE439B" w:rsidRDefault="00CE439B" w:rsidP="00CE439B">
      <w:pPr>
        <w:numPr>
          <w:ilvl w:val="0"/>
          <w:numId w:val="1"/>
        </w:numPr>
        <w:rPr>
          <w:rFonts w:ascii="Calibri" w:eastAsia="Times New Roman" w:hAnsi="Calibri" w:cs="Calibri"/>
        </w:rPr>
      </w:pPr>
      <w:r w:rsidRPr="00CE439B">
        <w:rPr>
          <w:rFonts w:ascii="Arial" w:eastAsia="Times New Roman" w:hAnsi="Arial" w:cs="Arial"/>
        </w:rPr>
        <w:t>the Praxis Core, OR</w:t>
      </w:r>
    </w:p>
    <w:p w14:paraId="697A7C2B" w14:textId="77777777" w:rsidR="00CE439B" w:rsidRPr="00CE439B" w:rsidRDefault="00CE439B" w:rsidP="00CE439B">
      <w:pPr>
        <w:numPr>
          <w:ilvl w:val="0"/>
          <w:numId w:val="1"/>
        </w:numPr>
        <w:rPr>
          <w:rFonts w:ascii="Calibri" w:eastAsia="Times New Roman" w:hAnsi="Calibri" w:cs="Calibri"/>
        </w:rPr>
      </w:pPr>
      <w:r w:rsidRPr="00CE439B">
        <w:rPr>
          <w:rFonts w:ascii="Arial" w:eastAsia="Times New Roman" w:hAnsi="Arial" w:cs="Arial"/>
        </w:rPr>
        <w:t>passing scores for the SAT or ACT Reading and Writing, plus a passing score on the Math Praxis Core, SAT, or ACT, OR</w:t>
      </w:r>
    </w:p>
    <w:p w14:paraId="1AFA6014" w14:textId="77777777" w:rsidR="00CE439B" w:rsidRPr="00CE439B" w:rsidRDefault="00CE439B" w:rsidP="00CE439B">
      <w:pPr>
        <w:numPr>
          <w:ilvl w:val="0"/>
          <w:numId w:val="1"/>
        </w:numPr>
        <w:spacing w:line="252" w:lineRule="auto"/>
        <w:rPr>
          <w:rFonts w:ascii="Calibri" w:eastAsia="Times New Roman" w:hAnsi="Calibri" w:cs="Calibri"/>
        </w:rPr>
      </w:pPr>
      <w:r w:rsidRPr="00CE439B">
        <w:rPr>
          <w:rFonts w:ascii="Arial" w:eastAsia="Times New Roman" w:hAnsi="Arial" w:cs="Arial"/>
        </w:rPr>
        <w:t>passing scores for the Praxis Core Math, SAT or ACT Math plus a passing score on the VCLA.</w:t>
      </w:r>
      <w:r w:rsidRPr="00CE439B">
        <w:rPr>
          <w:rFonts w:ascii="Arial" w:eastAsia="Times New Roman" w:hAnsi="Arial" w:cs="Arial"/>
        </w:rPr>
        <w:br/>
      </w:r>
    </w:p>
    <w:p w14:paraId="1244ACAB" w14:textId="77777777" w:rsidR="00CE439B" w:rsidRPr="00CE439B" w:rsidRDefault="00CE439B" w:rsidP="00CE439B">
      <w:pPr>
        <w:rPr>
          <w:rFonts w:ascii="Calibri" w:eastAsia="Calibri" w:hAnsi="Calibri" w:cs="Calibri"/>
        </w:rPr>
      </w:pPr>
      <w:r w:rsidRPr="00CE439B">
        <w:rPr>
          <w:rFonts w:ascii="Arial" w:eastAsia="Calibri" w:hAnsi="Arial" w:cs="Arial"/>
        </w:rPr>
        <w:lastRenderedPageBreak/>
        <w:t xml:space="preserve">Applications for Phase 2 must be completed by March 1 to begin in the fall and by October 1 to begin in the spring. To be fully admitted into the program, admission testing must be passed by the first day of the semester when Phase 2 courses begin. </w:t>
      </w:r>
    </w:p>
    <w:p w14:paraId="6FA0E7F2" w14:textId="77777777" w:rsidR="00CE439B" w:rsidRPr="00CE439B" w:rsidRDefault="00CE439B" w:rsidP="00CE439B">
      <w:pPr>
        <w:spacing w:before="100" w:beforeAutospacing="1" w:after="100" w:afterAutospacing="1"/>
        <w:rPr>
          <w:rFonts w:ascii="Arial" w:eastAsia="Times New Roman" w:hAnsi="Arial" w:cs="Arial"/>
          <w:color w:val="000000"/>
          <w:u w:val="single"/>
        </w:rPr>
      </w:pPr>
      <w:r w:rsidRPr="00CE439B">
        <w:rPr>
          <w:rFonts w:ascii="Arial" w:eastAsia="Times New Roman" w:hAnsi="Arial" w:cs="Arial"/>
          <w:color w:val="000000"/>
          <w:highlight w:val="yellow"/>
        </w:rPr>
        <w:t>Motion:</w:t>
      </w:r>
      <w:r w:rsidRPr="00CE439B">
        <w:rPr>
          <w:rFonts w:ascii="Arial" w:eastAsia="Times New Roman" w:hAnsi="Arial" w:cs="Arial"/>
          <w:color w:val="000000"/>
        </w:rPr>
        <w:t>  Remove the policy limiting 12 education credits to count towards bachelor’s degree for those not enrolled in education programs, as stated on p. 261 of the 2019-2020 catalog and at </w:t>
      </w:r>
      <w:r w:rsidRPr="00CE439B">
        <w:rPr>
          <w:rFonts w:ascii="Arial" w:eastAsia="Times New Roman" w:hAnsi="Arial" w:cs="Arial"/>
        </w:rPr>
        <w:t>this link</w:t>
      </w:r>
      <w:r w:rsidRPr="00CE439B">
        <w:rPr>
          <w:rFonts w:ascii="Arial" w:eastAsia="Times New Roman" w:hAnsi="Arial" w:cs="Arial"/>
          <w:color w:val="000000"/>
        </w:rPr>
        <w:t> to the 2020-2021 digital catalog.</w:t>
      </w:r>
    </w:p>
    <w:p w14:paraId="0AEF283A" w14:textId="77777777" w:rsidR="00CE439B" w:rsidRPr="00CE439B" w:rsidRDefault="00CE439B" w:rsidP="00CE439B">
      <w:pPr>
        <w:spacing w:before="100" w:beforeAutospacing="1" w:after="100" w:afterAutospacing="1"/>
        <w:rPr>
          <w:rFonts w:ascii="Arial" w:eastAsia="Times New Roman" w:hAnsi="Arial" w:cs="Arial"/>
        </w:rPr>
      </w:pPr>
      <w:hyperlink r:id="rId10" w:history="1">
        <w:r w:rsidRPr="00CE439B">
          <w:rPr>
            <w:rFonts w:ascii="Arial" w:eastAsia="Times New Roman" w:hAnsi="Arial" w:cs="Arial"/>
            <w:color w:val="0000FF"/>
            <w:u w:val="single"/>
          </w:rPr>
          <w:t>https://nextcatalog.umw.edu/undergraduate/academic-policies/ba-bs-degree-graduation-requirements/</w:t>
        </w:r>
      </w:hyperlink>
    </w:p>
    <w:p w14:paraId="13E6EF8C" w14:textId="77777777" w:rsidR="00CE439B" w:rsidRPr="00CE439B" w:rsidRDefault="00CE439B" w:rsidP="00CE439B">
      <w:pPr>
        <w:spacing w:before="100" w:beforeAutospacing="1" w:after="100" w:afterAutospacing="1"/>
        <w:rPr>
          <w:rFonts w:ascii="Arial" w:eastAsia="Times New Roman" w:hAnsi="Arial" w:cs="Arial"/>
        </w:rPr>
      </w:pPr>
      <w:r w:rsidRPr="00CE439B">
        <w:rPr>
          <w:rFonts w:ascii="Arial" w:eastAsia="Times New Roman" w:hAnsi="Arial" w:cs="Arial"/>
          <w:color w:val="000000"/>
        </w:rPr>
        <w:t>Rationale:  This policy is no longer needed, since students have to be admitted to the COE in order to advance beyond the two courses (EDUC 206 &amp; 207; 6 credits total) in Phase I of our new education pathways.  Students who transfer in are enrolled in 12 credits (elementary) or 13 credits (secondary/PK-12), but they must apply to the COE prior to beginning this coursework.  As for students who may be enrolled in the COE and then decide not to finish the program, deleting this policy would be in alignment with other programs of study:  the education courses a student took would then be able to apply toward elective credit, just as any other student.</w:t>
      </w:r>
    </w:p>
    <w:p w14:paraId="2CB261D0" w14:textId="77777777" w:rsidR="00CE439B" w:rsidRPr="00245D77" w:rsidRDefault="00CE439B"/>
    <w:sectPr w:rsidR="00CE439B" w:rsidRPr="00245D77" w:rsidSect="007D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BAA"/>
    <w:multiLevelType w:val="multilevel"/>
    <w:tmpl w:val="C5F2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602E0"/>
    <w:multiLevelType w:val="multilevel"/>
    <w:tmpl w:val="16483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38"/>
    <w:rsid w:val="000E35A1"/>
    <w:rsid w:val="00245D77"/>
    <w:rsid w:val="004062D2"/>
    <w:rsid w:val="00467E19"/>
    <w:rsid w:val="006A3EE9"/>
    <w:rsid w:val="00724845"/>
    <w:rsid w:val="00767B33"/>
    <w:rsid w:val="007D6B31"/>
    <w:rsid w:val="00883876"/>
    <w:rsid w:val="008F0238"/>
    <w:rsid w:val="00A426BD"/>
    <w:rsid w:val="00A70C56"/>
    <w:rsid w:val="00AE1B29"/>
    <w:rsid w:val="00C96A1C"/>
    <w:rsid w:val="00CC4574"/>
    <w:rsid w:val="00CE439B"/>
    <w:rsid w:val="00E40676"/>
    <w:rsid w:val="00F8453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AC79"/>
  <w15:chartTrackingRefBased/>
  <w15:docId w15:val="{6B983410-A3E2-5045-A9E2-B8A199EB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02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02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94729">
      <w:bodyDiv w:val="1"/>
      <w:marLeft w:val="0"/>
      <w:marRight w:val="0"/>
      <w:marTop w:val="0"/>
      <w:marBottom w:val="0"/>
      <w:divBdr>
        <w:top w:val="none" w:sz="0" w:space="0" w:color="auto"/>
        <w:left w:val="none" w:sz="0" w:space="0" w:color="auto"/>
        <w:bottom w:val="none" w:sz="0" w:space="0" w:color="auto"/>
        <w:right w:val="none" w:sz="0" w:space="0" w:color="auto"/>
      </w:divBdr>
      <w:divsChild>
        <w:div w:id="211772914">
          <w:marLeft w:val="0"/>
          <w:marRight w:val="0"/>
          <w:marTop w:val="0"/>
          <w:marBottom w:val="0"/>
          <w:divBdr>
            <w:top w:val="none" w:sz="0" w:space="0" w:color="auto"/>
            <w:left w:val="none" w:sz="0" w:space="0" w:color="auto"/>
            <w:bottom w:val="none" w:sz="0" w:space="0" w:color="auto"/>
            <w:right w:val="none" w:sz="0" w:space="0" w:color="auto"/>
          </w:divBdr>
          <w:divsChild>
            <w:div w:id="6232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mw.edu/search/?P=EDUC%20206" TargetMode="External"/><Relationship Id="rId3" Type="http://schemas.openxmlformats.org/officeDocument/2006/relationships/settings" Target="settings.xml"/><Relationship Id="rId7" Type="http://schemas.openxmlformats.org/officeDocument/2006/relationships/hyperlink" Target="https://catalog.umw.edu/search/?P=EDUC%202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mw.edu/search/?P=EDUC%20206" TargetMode="External"/><Relationship Id="rId11" Type="http://schemas.openxmlformats.org/officeDocument/2006/relationships/fontTable" Target="fontTable.xml"/><Relationship Id="rId5" Type="http://schemas.openxmlformats.org/officeDocument/2006/relationships/hyperlink" Target="https://catalog.umw.edu/undergraduate/college-education/#admissiontext" TargetMode="External"/><Relationship Id="rId10" Type="http://schemas.openxmlformats.org/officeDocument/2006/relationships/hyperlink" Target="https://nextcatalog.umw.edu/undergraduate/academic-policies/ba-bs-degree-graduation-requirements/" TargetMode="External"/><Relationship Id="rId4" Type="http://schemas.openxmlformats.org/officeDocument/2006/relationships/webSettings" Target="webSettings.xml"/><Relationship Id="rId9" Type="http://schemas.openxmlformats.org/officeDocument/2006/relationships/hyperlink" Target="https://catalog.umw.edu/search/?P=EDUC%20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Andrew Dolby (adolby)</cp:lastModifiedBy>
  <cp:revision>2</cp:revision>
  <dcterms:created xsi:type="dcterms:W3CDTF">2021-02-26T20:15:00Z</dcterms:created>
  <dcterms:modified xsi:type="dcterms:W3CDTF">2021-02-26T20:15:00Z</dcterms:modified>
</cp:coreProperties>
</file>