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C1DD4" w14:textId="77777777" w:rsidR="001D61F5" w:rsidRPr="000070B3" w:rsidRDefault="001D61F5" w:rsidP="001D61F5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70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General Education Committee</w:t>
      </w:r>
    </w:p>
    <w:p w14:paraId="5FE0FC78" w14:textId="228F0BAD" w:rsidR="001D61F5" w:rsidRPr="000070B3" w:rsidRDefault="001D61F5" w:rsidP="001D61F5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February 1</w:t>
      </w:r>
      <w:r w:rsidRPr="000070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</w:p>
    <w:p w14:paraId="5542791C" w14:textId="77777777" w:rsidR="001D61F5" w:rsidRPr="000070B3" w:rsidRDefault="001D61F5" w:rsidP="001D61F5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70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Action Items</w:t>
      </w:r>
    </w:p>
    <w:p w14:paraId="35E94769" w14:textId="5C79ABF9" w:rsidR="002239EA" w:rsidRDefault="009A4C78"/>
    <w:p w14:paraId="42C757FB" w14:textId="40388B53" w:rsidR="001D61F5" w:rsidRPr="001D61F5" w:rsidRDefault="001D61F5">
      <w:pPr>
        <w:rPr>
          <w:rFonts w:ascii="Times" w:hAnsi="Times"/>
          <w:sz w:val="24"/>
          <w:szCs w:val="24"/>
        </w:rPr>
      </w:pPr>
      <w:r w:rsidRPr="001D61F5">
        <w:rPr>
          <w:rFonts w:ascii="Times" w:hAnsi="Times"/>
          <w:sz w:val="24"/>
          <w:szCs w:val="24"/>
        </w:rPr>
        <w:t>The Committee recommends that both THEA 211 and 212 (Dramatic Literature) be designated “Global and Diverse Perspectives” courses.</w:t>
      </w:r>
    </w:p>
    <w:sectPr w:rsidR="001D61F5" w:rsidRPr="001D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쎽述ĝ㞠⒋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F5"/>
    <w:rsid w:val="001D61F5"/>
    <w:rsid w:val="0064275E"/>
    <w:rsid w:val="00673995"/>
    <w:rsid w:val="009A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1C931"/>
  <w15:chartTrackingRefBased/>
  <w15:docId w15:val="{683F9B52-A1E0-DB4E-A41C-27E08292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1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Di Lauro (bdilauro)</dc:creator>
  <cp:keywords/>
  <dc:description/>
  <cp:lastModifiedBy>Courtney Clayton (cclayton)</cp:lastModifiedBy>
  <cp:revision>2</cp:revision>
  <dcterms:created xsi:type="dcterms:W3CDTF">2021-02-15T16:28:00Z</dcterms:created>
  <dcterms:modified xsi:type="dcterms:W3CDTF">2021-02-15T16:28:00Z</dcterms:modified>
</cp:coreProperties>
</file>